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pasākumu "Digitālo prasmju pilnveide"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finansējuma saņēmējam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un projekta īstenošanas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pilnveidot tiešās pārvaldes iestāžu, valsts institūciju, kas nav Ministru kabineta padotībā, atvasinātu publisku personu vai to iestāžu, tiesu iestāžu, prokuratūras, kā arī privātpersonu, kurām deleģēts valsts pārvaldes uzdevums, darbinieku (turpmāk – valsts un pašvaldību iestāžu darbinieki) digitālās prasmes un veicināt uz sabiedrību un uzņēmējiem orientēto digitālo iespēju un platformu izmantošanu, tādējādi paaugstinot informācijas un komunikācijas tehnoloģiju iespēju izmantošanu un mazinot digitālo plaisu sabiedrībā.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valsts un pašvaldību iestāžu darbinieki, visa Latvijas sabiedrība.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Pasākumu īsteno līdz 2029. gada 31. decembrim, sasniedzot šādus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1867 nodarbinātas personas (personu skaits), tai skaitā par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finansējumu – vismaz 1572 nodarbinātas personas;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organizēti vismaz 30 pasākumi informācijas un komunikācijas tehnoloģiju iespēju izmantošanas veicināšanai (semināri, konferences vai citi pasākumi), tai skaitā par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finansējumu – vismaz 25 pasākumi;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mācībās piedalījušies vismaz 1867 valsts un pašvaldību iestāžu darbinieki, tai skaitā par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finansējumu – vismaz 1572 valsts un pašvaldību iestāžu darbinieki;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īstenotas vismaz piecas integrētās komunikāciju kampaņas, tai skaitā par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finansējumu – vismaz četras kampaņas.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plānotais kopējais finansējums ir 4 335 338 </w:t>
      </w:r>
      <w:r w:rsidR="00000000" w:rsidRPr="00000000" w:rsidDel="00000000">
        <w:rPr>
          <w:i w:val="1"/>
          <w:rtl w:val="0"/>
        </w:rPr>
        <w:t xml:space="preserve">euro</w:t>
      </w:r>
      <w:r w:rsidR="00000000" w:rsidRPr="00000000" w:rsidDel="00000000">
        <w:rPr>
          <w:rtl w:val="0"/>
        </w:rPr>
        <w:t xml:space="preserve"> (tai skaitā elastības finansējums 684 008 </w:t>
      </w:r>
      <w:r w:rsidR="00000000" w:rsidRPr="00000000" w:rsidDel="00000000">
        <w:rPr>
          <w:i w:val="1"/>
          <w:rtl w:val="0"/>
        </w:rPr>
        <w:t xml:space="preserve">euro</w:t>
      </w:r>
      <w:r w:rsidR="00000000" w:rsidRPr="00000000" w:rsidDel="00000000">
        <w:rPr>
          <w:rtl w:val="0"/>
        </w:rPr>
        <w:t xml:space="preserve">), tai skaitā Eiropas Sociālā fonda Plus finansējums 3 685 037 </w:t>
      </w:r>
      <w:r w:rsidR="00000000" w:rsidRPr="00000000" w:rsidDel="00000000">
        <w:rPr>
          <w:i w:val="1"/>
          <w:rtl w:val="0"/>
        </w:rPr>
        <w:t xml:space="preserve">euro</w:t>
      </w:r>
      <w:r w:rsidR="00000000" w:rsidRPr="00000000" w:rsidDel="00000000">
        <w:rPr>
          <w:rtl w:val="0"/>
        </w:rPr>
        <w:t xml:space="preserve"> (tai skaitā elastības finansējums 581 407 </w:t>
      </w:r>
      <w:r w:rsidR="00000000" w:rsidRPr="00000000" w:rsidDel="00000000">
        <w:rPr>
          <w:i w:val="1"/>
          <w:rtl w:val="0"/>
        </w:rPr>
        <w:t xml:space="preserve">euro</w:t>
      </w:r>
      <w:r w:rsidR="00000000" w:rsidRPr="00000000" w:rsidDel="00000000">
        <w:rPr>
          <w:rtl w:val="0"/>
        </w:rPr>
        <w:t xml:space="preserve">) un valsts budžeta līdzfinansējums 650 301 </w:t>
      </w:r>
      <w:r w:rsidR="00000000" w:rsidRPr="00000000" w:rsidDel="00000000">
        <w:rPr>
          <w:i w:val="1"/>
          <w:rtl w:val="0"/>
        </w:rPr>
        <w:t xml:space="preserve">euro</w:t>
      </w:r>
      <w:r w:rsidR="00000000" w:rsidRPr="00000000" w:rsidDel="00000000">
        <w:rPr>
          <w:rtl w:val="0"/>
        </w:rPr>
        <w:t xml:space="preserve"> (tai skaitā elastības finansējums 102 601 </w:t>
      </w:r>
      <w:r w:rsidR="00000000" w:rsidRPr="00000000" w:rsidDel="00000000">
        <w:rPr>
          <w:i w:val="1"/>
          <w:rtl w:val="0"/>
        </w:rPr>
        <w:t xml:space="preserve">euro</w:t>
      </w:r>
      <w:r w:rsidR="00000000" w:rsidRPr="00000000" w:rsidDel="00000000">
        <w:rPr>
          <w:rtl w:val="0"/>
        </w:rPr>
        <w:t xml:space="preserve">). Maksimālais Eiropas Sociālā fonda Plus finansējuma apmērs nepārsniedz 85 procentus no projekta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iesniegumā pasākuma īstenošanai kopējo pasākuma pieejamo finansējumu plāno ne vairāk kā 3 651 330 </w:t>
      </w:r>
      <w:r w:rsidR="00000000" w:rsidRPr="00000000" w:rsidDel="00000000">
        <w:rPr>
          <w:i w:val="1"/>
          <w:rtl w:val="0"/>
        </w:rPr>
        <w:t xml:space="preserve">euro</w:t>
      </w:r>
      <w:r w:rsidR="00000000" w:rsidRPr="00000000" w:rsidDel="00000000">
        <w:rPr>
          <w:rtl w:val="0"/>
        </w:rPr>
        <w:t xml:space="preserve">, tai skaitā Eiropas Sociālā fonda Plus finansējumu 3 103 630 </w:t>
      </w:r>
      <w:r w:rsidR="00000000" w:rsidRPr="00000000" w:rsidDel="00000000">
        <w:rPr>
          <w:i w:val="1"/>
          <w:rtl w:val="0"/>
        </w:rPr>
        <w:t xml:space="preserve">euro </w:t>
      </w:r>
      <w:r w:rsidR="00000000" w:rsidRPr="00000000" w:rsidDel="00000000">
        <w:rPr>
          <w:rtl w:val="0"/>
        </w:rPr>
        <w:t xml:space="preserve">un valsts budžeta līdzfinansējumu 547 700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Viedās administrācijas un reģionālās attīstības ministrija kā par digitālo transformāciju atbildīgā nozares ministrija. Ja sadarbības iestāde apstiprina projekta iesniegumu, projekta iesniedzējs ir finansējuma saņēmējs.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īstenošanā projekta iesniedzējs par sadarbības partneri var piesaistīt tiešās vai pastarpinātās pārvaldes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projekta iesniedzējs projekta īstenošanā piesaista vienu vai vairākus sadarbības partnerus, projekta iesniegumā pamato projekta ietvaros plānotās partnerības nepieciešamību. Finansējuma saņēmējs un sadarbības partneris slēdz sadarbības līgumu saskaņā ar normatīvo aktu,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sagatavo projekta iesniegumu atbilstoši projekta iesnieguma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pasākuma ietvaros iesniedz vienu projekta iesniegumu.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programmu izstrāde un aktualizācija;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aktivitāšu īstenošanas un organizēšanas nodrošināšana nodarbinātām personām (valsts un pašvaldību iestāžu darbiniekiem), tai skaitā tehniskā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monitoringa veikšana;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mācību vajadzību apzināšana un izvērtēšana;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pasākumi par digitālās transformācijas politikas un pasākumu īstenošanu Latvijā, kā arī par valsts un pašvaldību iestāžu nodrošināto digitālo risinājumu izmantošanas iespējām un nozīmību;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noteiktā mērķa sasniegšanu.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ir attiecināmas šādas projekta tiešās attiecināmās izmaksas, kas ir tieši saistītas ar projekta īstenošanu un nepieciešamas projekta rezultātu sasniegšanai: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kuras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20 procentu apmērā no šo noteikumu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20.8.</w:t>
      </w:r>
      <w:r w:rsidR="00000000" w:rsidRPr="00000000" w:rsidDel="00000000">
        <w:rPr>
          <w:rtl w:val="0"/>
        </w:rPr>
        <w:t xml:space="preserve">, </w:t>
      </w:r>
      <w:r w:rsidR="00000000" w:rsidRPr="00000000" w:rsidDel="00000000">
        <w:rPr>
          <w:rtl w:val="0"/>
        </w:rPr>
        <w:t xml:space="preserve">20.9.</w:t>
      </w:r>
      <w:r w:rsidR="00000000" w:rsidRPr="00000000" w:rsidDel="00000000">
        <w:rPr>
          <w:rtl w:val="0"/>
        </w:rPr>
        <w:t xml:space="preserve">, </w:t>
      </w:r>
      <w:r w:rsidR="00000000" w:rsidRPr="00000000" w:rsidDel="00000000">
        <w:rPr>
          <w:rtl w:val="0"/>
        </w:rPr>
        <w:t xml:space="preserve">20.10.</w:t>
      </w:r>
      <w:r w:rsidR="00000000" w:rsidRPr="00000000" w:rsidDel="00000000">
        <w:rPr>
          <w:rtl w:val="0"/>
        </w:rPr>
        <w:t xml:space="preserve">, </w:t>
      </w:r>
      <w:r w:rsidR="00000000" w:rsidRPr="00000000" w:rsidDel="00000000">
        <w:rPr>
          <w:rtl w:val="0"/>
        </w:rPr>
        <w:t xml:space="preserve">20.11.</w:t>
      </w:r>
      <w:r w:rsidR="00000000" w:rsidRPr="00000000" w:rsidDel="00000000">
        <w:rPr>
          <w:rtl w:val="0"/>
        </w:rPr>
        <w:t xml:space="preserve"> un </w:t>
      </w:r>
      <w:r w:rsidR="00000000" w:rsidRPr="00000000" w:rsidDel="00000000">
        <w:rPr>
          <w:rtl w:val="0"/>
        </w:rPr>
        <w:t xml:space="preserve">20.12.</w:t>
      </w:r>
      <w:r w:rsidR="00000000" w:rsidRPr="00000000" w:rsidDel="00000000">
        <w:rPr>
          <w:rtl w:val="0"/>
        </w:rPr>
        <w:t xml:space="preserve"> apakšpunktā minētajām projekta pārējām tiešajām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finansējuma saņēmēja projekta vadītājam un īstenošanas personālam un projekta vadības un īstenošanas personāla iekšzemes komandējumu un darba braucienu izmaksas atbilstoši normatīvajiem aktiem par kārtību, kādā atlīdzināmi ar komandējumu saistītie izdevumi, ja tās ir pamatotas un saistītas ar projekta īstenošanu. Iekšzemes komandējumu izmaksas tiek segtas atbilstoši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vadības un īstenošanas personāla darba vietu aprīkojuma, biroja mēbeļu, tehnikas, datorprogrammu un licenču iegādes vai īres izmaksas ne vairāk kā 3000 </w:t>
      </w:r>
      <w:r w:rsidR="00000000" w:rsidRPr="00000000" w:rsidDel="00000000">
        <w:rPr>
          <w:i w:val="1"/>
          <w:rtl w:val="0"/>
        </w:rPr>
        <w:t xml:space="preserve">euro</w:t>
      </w:r>
      <w:r w:rsidR="00000000" w:rsidRPr="00000000" w:rsidDel="00000000">
        <w:rPr>
          <w:rtl w:val="0"/>
        </w:rPr>
        <w:t xml:space="preserve"> vienai darba vietai (gan jaunradītai, gan esošai, kuras aprīkojums ir nolietojies un tiek norakstīts) visā projekta īstenošanas laikā, ja projekta vadības un īstenošanas personāls ir nodarbināts projektā uz darba līguma pamata. Ja projekta vadības un īstenošanas personāls ir nodarbināts nepilnu darba laiku vai daļlaiku, darba vietas aprīkojuma iegādes vai īres izmaksas (gan jaunradītai, gan esošai darba vietai, kuras aprīkojums ir nolietojies un tiek norakstīts) ir attiecināmas proporcionāli darba slodzes procentuālajam sadalījumam, bet daļlaika noslodzes gadījumā – ņemot vērā darbinieka iesaistes periodu projektā pret kopējo projekta īstenošanas ilgumu;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pakalpojumu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saistītas ar tādu pasākumu organizēšanu un īstenošanu, kuri veicina informācijas un komunikācijas tehnoloģiju iespēju izmantošanu, – mācību, semināru, konferenču, integrēto komunikācijas kampaņu, pieredzes apmaiņas pasākumu organizēšana un īstenošana, kā arī citu prasmju paaugstināšana, tai skaitā: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lektoru, ekspertu, konsultantu, moderatoru atlīdzība (ieskaitot honorārus, ceļošanas izdevumus);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tulkošanas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īres maksa (ja projekta aktivitāšu īstenošanai nepieciešams īrēt telpas ārpus finansējuma saņēmēja juridiskās un faktiskās uzturēšanās adreses);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tehniskā nodrošinājuma izmaksas mācību un pasākumu īstenošanai;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ēdināšanas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saistītas ar komunikācijas kampaņu organizēšanu un īstenošanu informācijas un komunikācijas tehnoloģiju iespēju izmantošanas veicināšanai un 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informatīvo materiālu izstrādes un izplatīšanas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mācību materiālu (arī interaktīvu) izstrādes un drukas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ekspertu pakalpojumi un izvērtējumi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 minēto atbalstāmo darbību plānošanai un īstenošanai;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šo noteikumu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minētā monitoringa veikšanu saistītās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minēto mācību vajadzību apzināšanu un izvērtēšanu saistītās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mācību programmu izstrādi saistīto informācijas un komunikācijas tehnoloģiju risinājumu, aparatūras un programmatūras izmaksas mācību nodrošināšanai, kā arī ar mācībām saistīto materiālu izvietošanas izmaksas tīmekļvietnēs, to uzturēšana un aktualizācija projekta īstenošanas laikā;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pakalpojumu izmaksas horizontālā principa "Vienlīdzība, iekļaušana, nediskriminācija un pamattiesību ievērošana" darbību īstenošanai, tai skaitā ekspertu konsultāciju, pandusu un pacēlāju nomas, indukcijas cilpu nomas, zīmju valodas tulka, Braila raksta drukas, reāllaika transkripcijas, subtitru nodrošināšanas pakalpojumu izmaksas, kā arī komunikācijas un vizuālās identitātes materiālu sagatavošana un izplatīšana piekļūstamos formātos;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citas ar pasākumu organizēšanu un īstenošanu saistītās izmaksas.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minētajām tiešajām attiecināmajām personāla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Izmaksas ir attiecināmas no brīža, kad tiek noslēgta vienošanās par projekta īstenošanu. Projekta iesniegumā neiekļauj un finansējumu nepiešķir pabeigtām darbībām.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2029. gada 31.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minētajiem rādītājiem;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projekta ietekmi uz horizontālā principa rādītāju: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17.7. </w:t>
      </w:r>
      <w:r w:rsidR="00000000" w:rsidRPr="00000000" w:rsidDel="00000000">
        <w:rPr>
          <w:rtl w:val="0"/>
        </w:rPr>
        <w:t xml:space="preserve">apakšpunktā</w:t>
      </w:r>
      <w:r w:rsidR="00000000" w:rsidRPr="00000000" w:rsidDel="00000000">
        <w:rPr>
          <w:rtl w:val="0"/>
        </w:rPr>
        <w:t xml:space="preserve"> minētās komunikācijas un vizuālās identitātes prasības saskaņā ar regulas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un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minētais sadarbības partneris (ja attiecināms) nodrošina interešu konflikta neesību saskaņā ar Eiropas Parlamenta un Padomes 2018. gada 18. jūlija Regulas (ES, Euratom)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minēto rezultāta rādītāja vērtību sasniegšanu;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uzskaita un iesniedz sadarbības iestādē apkopotus datus par atbalstu saņēmušajām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minētajām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nodrošina dubultā finansējuma neiestāšanos, tostarp nodrošina, lai pasākuma ietvaros plānotais atbalsts nepārklātos ar citiem valsts un ārvalstu finanšu atbalsta instrumentiem.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ne retāk kā reizi sešos mēnešos savā tīmekļvietnē ievieto aktuālo informāciju par projekta īstenošanu.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kā arī vides piekļūstamības un izmantojamības nodrošināšana – zaļais publiskais iepirkums – un, kur tas ir attiecināms un atbilstošs ieguldījumu specifikai, īstenojams sociāli atbildīgs iepirkums.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24-TA-613</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24-TA-613</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noteikumu_projekts_24-TA-613.docx</dc:title>
</cp:coreProperties>
</file>

<file path=docProps/custom.xml><?xml version="1.0" encoding="utf-8"?>
<Properties xmlns="http://schemas.openxmlformats.org/officeDocument/2006/custom-properties" xmlns:vt="http://schemas.openxmlformats.org/officeDocument/2006/docPropsVTypes"/>
</file>