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2.1.1. specifiskā atbalsta mērķa "Energoefektivitātes veicināšana un siltumnīcefekta gāzu emisiju samazināšana" 2.1.1.8. pasākuma "Energoefektivitāti veicinoši pasākumi kultūras infrastruktūrā"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2.1.1.8. pasākumu "Energoefektivitāti veicinoši pasākumi kultūras infrastruktūrā"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(turpmāk – projekta iesniedzējs), finansējuma saņēmējam un projekta sadarbības partnerim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veikt ieguldījumus energoefektivitātes uzlabošanai un pārejai uz atjaunojamiem energoresursiem valsts ēkās, kurās tiek nodrošināta kultūras funkcija.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valsts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plānotais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34 800 000 </w:t>
      </w:r>
      <w:r w:rsidR="00000000" w:rsidRPr="00000000" w:rsidDel="00000000">
        <w:rPr>
          <w:i w:val="1"/>
          <w:rtl w:val="0"/>
        </w:rPr>
        <w:t xml:space="preserve">euro</w:t>
      </w:r>
      <w:r w:rsidR="00000000" w:rsidRPr="00000000" w:rsidDel="00000000">
        <w:rPr>
          <w:rtl w:val="0"/>
        </w:rPr>
        <w:t xml:space="preserve"> (no tā elastības finansējuma apjoms – 5 448 840 </w:t>
      </w:r>
      <w:r w:rsidR="00000000" w:rsidRPr="00000000" w:rsidDel="00000000">
        <w:rPr>
          <w:i w:val="1"/>
          <w:rtl w:val="0"/>
        </w:rPr>
        <w:t xml:space="preserve">euro</w:t>
      </w:r>
      <w:r w:rsidR="00000000" w:rsidRPr="00000000" w:rsidDel="00000000">
        <w:rPr>
          <w:rtl w:val="0"/>
        </w:rPr>
        <w:t xml:space="preserve">), tai skaitā Eiropas Reģionālās attīstības fonda finansējums 29 580 000 </w:t>
      </w:r>
      <w:r w:rsidR="00000000" w:rsidRPr="00000000" w:rsidDel="00000000">
        <w:rPr>
          <w:i w:val="1"/>
          <w:rtl w:val="0"/>
        </w:rPr>
        <w:t xml:space="preserve">euro</w:t>
      </w:r>
      <w:r w:rsidR="00000000" w:rsidRPr="00000000" w:rsidDel="00000000">
        <w:rPr>
          <w:rtl w:val="0"/>
        </w:rPr>
        <w:t xml:space="preserve"> (no tā elastības finansējuma apjoms –  4 665 514 </w:t>
      </w:r>
      <w:r w:rsidR="00000000" w:rsidRPr="00000000" w:rsidDel="00000000">
        <w:rPr>
          <w:i w:val="1"/>
          <w:rtl w:val="0"/>
        </w:rPr>
        <w:t xml:space="preserve">euro</w:t>
      </w:r>
      <w:r w:rsidR="00000000" w:rsidRPr="00000000" w:rsidDel="00000000">
        <w:rPr>
          <w:rtl w:val="0"/>
        </w:rPr>
        <w:t xml:space="preserve">) un nacionālais finansējums 5 220 000 </w:t>
      </w:r>
      <w:r w:rsidR="00000000" w:rsidRPr="00000000" w:rsidDel="00000000">
        <w:rPr>
          <w:i w:val="1"/>
          <w:rtl w:val="0"/>
        </w:rPr>
        <w:t xml:space="preserve">euro</w:t>
      </w:r>
      <w:r w:rsidR="00000000" w:rsidRPr="00000000" w:rsidDel="00000000">
        <w:rPr>
          <w:rtl w:val="0"/>
        </w:rPr>
        <w:t xml:space="preserve"> (no tā elastības finansējuma apjoms –  823 326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līdz 2029. gada 31. decembrim sasniedzamie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 specifiskā atbalsta mērķa "Energoefektivitātes veicināšana un siltumnīcefekta gāzu emisiju samazināšana" ietvaros sasniedzamais rezultāta rādītājs – vismaz 30 % primārās enerģijas ietaupījums no attiecīgās pasākuma ietvaros atbalstītās ēkas primārās enerģijas patēriņa pirms projekta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 specifiskā atbalsta mērķa "Energoefektivitātes veicināšana un siltumnīcefekta gāzu emisiju samazināšana" ietvaros sasniedzamais iznākuma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gada patēriņa samazinājums – vismaz  49 861 028 kWh/gadā;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valsts ēku platība – vismaz 508 786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 no projekta kopējām attiecināmajām izmaksām, ja projekta iesniedzējs neveic saimniecisko darbību un atbalsta sniegšana pasākuma ietvaros tam nav kvalificējama kā valsts atbalsts komercdarbībai.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projekta sadarbības partnerim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ir tiešās pārvaldes iestāde, privāto tiesību juridiska persona, atvasināta publiska persona vai biedrība, kas pārvalda un apsaimnieko valsts nekustamos īpašumus vai ēku (ēku grupu) vai veic valsts deleģētus uzdevumus, kurā tiek nodrošināta kultūras funkcija un, kas pēc sadarbības iestādes lēmuma par projekta iesnieguma apstiprināšanu, kļūst par finansējuma saņēmēju, un ir norādīts šo noteikumu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nodrošina, ka netiek pārsniegts tam aprēķinātais publiskais finansējums.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projekta īstenošanā var iesaistīt projekta sadarbības partneri, kas ir privāto tiesību juridiska persona vai atvasināta publiska persona, kura pārvalda un apsaimnieko valsts vai pašvaldības nekustamos īpašumus, ievērojot šādus nosacījumus: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projekta sadarbības partneri (ja attiecināms) pirms projekta iesnieguma iesniegšanas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piesaistīti darbinieki, kuriem ir pieredze energoefektivitātes paaugstināšanas projektu plānošanā, izstrādē, ieviešanā vai uzraudzībā, lai veiktu šo noteikumu 14. punktā minētās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sadarbības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iesnieguma iesniegšanas dienā nav noslēgts sadarbības līgums, projekta iesniegumam pievieno projekta iesniedzēja un projekta sadarbības partnera nodomu protokolu ar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projekta sadarbības partnera apņemšanos sadarboties projekta ietvaros, tai skaitā noslēgt sadarbības līgumu, ja projekts tiks apstiprināts;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projekta sadarbības partnera veicamajiem pienākumiem projekta īstenošanā.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sadarbības partneris var īstenot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civiltiesisko līgumu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izmaksu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informācijas un publicitātes pasākumu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komercdarbības atbalstu izslēdzošo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11. punktā minētais projekta iesniedzējs var veikt plānotos ieguldījumus, ja ēka (ēku grupa) ir projekta iesniedzēja īpašumā vai ilgtermiņa nomā uz vismaz 10 gadiem no projekta īstenošanas sākuma brīža vai projekta iesniedzējam ir apbūves tiesība visā projekta īstenošanas laikā un vismaz piecus gadus pēc projekta īstenošanas pabeigšanas, vai ēka (ēku grupa) ir nodota projekta iesniedzēja pārvaldīšanā, ko apliecina attiecīgs līgums, vai valdījumā.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katru ēku (ēku grupu), kas atrodas vienā adresē, vai ēku grupu, kas atrodas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 izmantojot Kohēzijas politikas fondu vadības informācijas 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 atbilstoši energoefektivitātes paaugstināšanas pasākumiem, kas noteikti ēkas energosertifikācijas dokumentācijā: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tai skaitā apkures, ūdensapgādes, ventilācijas un dzesēšanas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ēku un inženiertehnisko sistēmu automatizētās vadības un kontroles sistēmu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iekštelpu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informācijas un 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plāno tiešās un netiešās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energosertifikācijas, tehniskās apsekošanas (periodiskās tehniskās apsekošanas atbilstoši būvnormatīvam būvju tehniskās apsekošanas jomā), būvniecības izmaksu tāmes, būvniecības ieceres dokumentācijas, būvprojekta izstrādāšanas, būvprojekta minimālā sastāvā,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un īstenošanas personāla atlīdzības izmaksas, kas radušās uz darba līguma, rīkojuma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ēkas energosertifikātā norādīto energoefektivitātes paaugstināšanas pasākumu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stāva griestu un ēkas augstākā stāva pārseguma vai jumta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darbi vides piekļūstamības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pieņemšanu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ierīkošana, kas paredzēti ēkas energosertifikātā;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ierīkošana, kuras nodrošina sistēmu pareizu un efektīvu darbību un enerģijas patēriņa kontroli un samazinājumu, kas paredzēts ēkas energosertifikātā;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komunikācijas un vizuālās identitātes prasību izpildes nodrošināšanas pasākumu izmaksas saskaņā ar Eiropas Parlamenta un Padomes (ES) 2021. gada 24. jūnija Regulas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pantu un normatīvajiem aktiem par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neparedzētie izdevumi, kuri nepārsniedz 5 % no projekta kopējām tiešajām attiecināmajām izmaksām un kurus var izmantot ar projekta īstenošanu saistīto attiecināmo izmaksu segšanai. To izlietošanu finansējuma saņēmējs saskaņo ar sadarbības iestādi, ievērojot civiltiesisko līgumu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saskaņā ar regulas Nr. 2021/1060 64. panta 1. punkta "c" apakšpunktā ietvertajiem nosacījumiem, ja vien tie nav atgūstami saskaņā ar valsts normatīvajiem aktiem pievienotās vērtības nodokļa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20. punktā minētās projekta netiešās attiecināmās izmaksas ir finansējuma saņēmēja projekta vadības un īstenošanas personāla administratīvās izmaksas, kuras plāno kā vienu izmaksu pozīciju, piemērojot netiešo izmaksu vienoto likmi 15 % apmērā no šo noteikumu 21.3. apakšpunktā minētajām izmaksām. Ja projekta īstenošanai tiek piesaistīts projekta sadarbības partneris, netiešo attiecināmo izmaksu sadalījums starp projekta iesniedzēju un projekta sadarbības partneri tiek noteikts sadarbības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21.1. un 21.2. apakšpunktā minēto attiecināmo izmaksu kopsumma nepārsniedz 10 % no projekta kopējām attiecināmajām izmaksām.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21.5.7. apakšpunktā minētās izmaksas nepārsniedz 30 % no projekta kopējām attiecināmajām izmaksām un 30 % no būvdarbu līguma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21.10. apakšpunktā minētās izmaksas nepārsniedz 1 %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21.1. un 21.2. apakšpunktā minētās izmaksas nav attiecināmas uz šo noteikumu pielikumā minēto finansējuma saņēmēju Mākslas izglītības kultūras centrs "Latgales Mūzikas un mākslas vidusskola" (projekta īstenošanas adrese - Baznīcas iela 34A, Rēzekne).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ir attiecināmas, ja tās atbilst šajos noteikumos minētajām izmaksu pozīcijām, ir radušās ne agrāk par 2024. gada 1. janvāri un ir tieši saistītas ar projekta ietvaros veiktajām darbībām, ir izmērāmas, samērīgas, pamatotas ar izdevumus apliecinošiem dokumentiem, kā arī ir ievēroti saimnieciskuma, lietderības un efektivitātes principi.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projektu īsteno saskaņā ar noslēgto civiltiesisko līgumu par projekta īstenošanu,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horizontālo principu „vienlīdzība, iekļaušana, nediskriminācija un pamattiesību ievērošana” un īsteno vismaz vienu vispārīgo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horizontālo principu "klimatnodrošināšana":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projektā izveidotā infrastruktūra būs noturīga pret ekstrēmiem klimatiskajiem notikumiem, tai skaitā iesniedz novērtējumu, kā projekta ietvaros tiks nodrošināta atbilstība pielāgošanās klimata pārmaiņām aspektiem, lai uzlabotu noturības līmeni pret klimata pārmaiņu ietekmi, novēršot infrastruktūras neaizsargātību pret klimatisko apstākļu iespējamo ilgtermiņa ietekmi vai akūtiem notikumiem;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projekta ietekmi uz horizontālā principa īstenošanu projekta īstenošanas un pēcuzraudzības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horizontālo principu "nenodarīt būtisku kaitējumu";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pusgadā ievieto savā tīmekļvietnē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saviem līdzekļiem sedz projekta īstenošanas gaitā radušās sadārdzinājuma un citas papildu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dubultā finansējuma neiestāšanos, tostarp, ka projektā plānotie darbi netiek finansēti vai līdzfinansēti, kā arī nav plānots tos finansēt vai līdzfinansēt no citiem valsts vai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 un nodrošina vides prasību integrāciju preču, pakalpojumu un būvdarbu iepirkumos (zaļais publiskais iepirkums), kā arī izvērtē sociāli atbildīga un inovatīva publiskā iepirkuma nosacījumu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projektā plānotajiem un sasniegtajiem šo noteikumu 8.2.1. un 8.2.2. apakšpunktā minētajiem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paraksta apliecinājumu par interešu konflikta neesību, kā arī projekta īstenošanas laikā nodrošina interešu konflikta neesību saskaņā ar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pēc projekta īstenošanas projekta dzīves ciklā: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finansējumu projektā sasniegto rezultātu uzturēšanai un uztur sasniegtos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ēkā (ēku grupā) tiek īstenoti valsts deleģētie pārvaldes uzdevumi kultūras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komercdarbības atbalstu izslēdzošo nosacījumu ievērošanu.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Finansējumu šo noteikumu 19. punktā minēto atbalstāmo darbību īstenošanai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konstatēta  saimnieciskā darbība kultūras jomā – ieņēmumi no saimnieciskās darbības konkrētajā infrastruktūrā ir mazāki par 50 % no kultūras jomas pakalpojumu sniedzēja gada budžeta;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piešķiršanas diena ir diena, kurā stājas spēkā sadarbības iestādes lēmums par pasākuma ietvaros īstenotā projekta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Atbalstītajā objektā ir pieļaujams sniegt papildpakalpojumus, kuriem nebūtu ietekmes uz tirdzniecību un konkurenci Eiropas Savienības iekšējā tirgū. Papildpakalpojumi ir pieļaujami tikai šo noteikumu 31.1.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kļūst par projektu, kas saistīts ar saimniecisko darbību, kurai sniegtais atbalsts būtu kvalificējams kā komercdarbības atbalsts, finansējuma saņēmējs no finansējuma, kura avots nav publiskie līdzekļi, atmaksā sadarbības iestādei visu nelikumīgi saņemto atbalstu kopā ar procentiem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 projekta dzīves ciklā uzrauga, vai tiek izpildīts šo noteikumu 31.1. un 31.2. apakšpunktā minētais nosacījums.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Projektam, uz kuru attiecināmi komercdarbības atbalsta kontroles nosacījumi, finansējuma saņēmējs un projekta sadarbības partneris (ja attiecināms) nodrošina ar atbalsta piešķiršanu saistītās dokumentācijas glabāšanu visā projekta dzīves ciklā, bet ne mazāk kā 10 gadus no atbalsta piešķiršanas brīža, bet sadarbības iestāde – ne mazāk kā 10 gadus no pēdējā atbalsta piešķiršanas dienas.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24-TA-1290</w:t>
    </w:r>
    <w:r>
      <w:br/>
    </w:r>
    <w:r w:rsidR="00000000" w:rsidRPr="00000000" w:rsidDel="00000000">
      <w:rPr>
        <w:rtl w:val="0"/>
      </w:rPr>
      <w:t xml:space="preserve">Izdrukāts 29.07.2026. 22.58 - 1.0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24-TA-1290</w:t>
    </w:r>
    <w:r>
      <w:br/>
    </w:r>
    <w:r w:rsidR="00000000" w:rsidRPr="00000000" w:rsidDel="00000000">
      <w:rPr>
        <w:rtl w:val="0"/>
      </w:rPr>
      <w:t xml:space="preserve">Izdrukāts 29.07.2026. 22.58 - 1.0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noteikumu_projekts_24-TA-1290.docx</dc:title>
</cp:coreProperties>
</file>

<file path=docProps/custom.xml><?xml version="1.0" encoding="utf-8"?>
<Properties xmlns="http://schemas.openxmlformats.org/officeDocument/2006/custom-properties" xmlns:vt="http://schemas.openxmlformats.org/officeDocument/2006/docPropsVTypes"/>
</file>