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aprīlī (prot. Nr. 20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septīto, astoto un devīto daļu un 13.panta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 (Latvijas Vēstnesis, 2009, 99., 187. nr.; 2010, 156. nr.; 2011, 41., 117., 179. nr.; 2012, 26., 93., 106. nr.; 2013, 228. nr.; 2014, 75. nr.; 2016, 134. nr.; 2022, 220.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Atbalsta saņēmēja pienākums ir atmaksāt neatbilstošos izdevumus un nokavējuma naudu Lauku atbalsta dienesta norādītajā kontā šo noteikumu 47. punktā minētajā lēmumā noteiktajā termiņā. Lauku atbalsta dienests vispirms atgūst neatbilstošo izdevumu pamatsummu un pēc tam nokavējuma naudu. Lauku atbalsta dienests ir tiesīgs neatbilstošos izdevumus ieturēt no atbalsta saņēmēja nākamajiem maksājumiem."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23-TA-549</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23-TA-549</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noteikumu_(grozījumu)_projekts_23-TA-549.docx</dc:title>
</cp:coreProperties>
</file>

<file path=docProps/custom.xml><?xml version="1.0" encoding="utf-8"?>
<Properties xmlns="http://schemas.openxmlformats.org/officeDocument/2006/custom-properties" xmlns:vt="http://schemas.openxmlformats.org/officeDocument/2006/docPropsVTypes"/>
</file>