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10. februārī (prot. Nr. 6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27. decembra noteikumos Nr. 1025 "Noteikumi par rīcību ar lietiskajiem pierādījumiem un arestēto mantu"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Kriminālprocesa likuma</w:t>
      </w:r>
      <w:r w:rsidR="00000000" w:rsidRPr="00000000" w:rsidDel="00000000">
        <w:rPr>
          <w:rStyle w:val="paragraph"/>
          <w:i w:val="1"/>
          <w:rtl w:val="0"/>
        </w:rPr>
        <w:t xml:space="preserve"> 235.panta septīto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239.panta sesto daļu, 240.panta sesto daļu, 365.panta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trešo daļu, 366.panta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27. decembra noteikumos Nr. 1025 "Noteikumi par rīcību ar lietiskajiem pierādījumiem un arestēto mantu" (Latvijas Vēstnesis, 2011, 205. nr.; 2013, 169. nr.; 2016, 44. nr.; 2017, 107. nr.; 2019, 51. nr.; 2021, 60. nr.; 2022, 69.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49.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50.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25-TA-2455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25-TA-2455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