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14. jūnija noteikumos Nr. 349 "Noteikumi par aizdevumu programmu pret Ukrainu vērstās Krievijas militārās agresijas radīto ekonomisko seku mazināšanai""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saskaņot ar Finanšu ministriju paziņojumu par pieņemtajiem grozījumiem Ministru kabineta 2022. gada 14. jūnija noteikumos Nr. 349 "Noteikumi par aizdevumu programmu pret Ukrainu vērstās Krievijas militārās agresijas radīto ekonomisko seku mazināšanai" un līdz 2022. gada 28. decembrim iesniegt to Eiropas Komisijai, izmantojot Eiropas Komisijas pārziņā esošo elektroniskās paziņošanas sistēmu SANI 2.</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grozījumi atbalsta programmas nosacījumos provizoriski palielina 2023. gada vispārējas valdības budžeta izdevumus par 21 852 978 </w:t>
      </w:r>
      <w:r w:rsidR="00000000" w:rsidRPr="00000000" w:rsidDel="00000000">
        <w:rPr>
          <w:i w:val="1"/>
          <w:rtl w:val="0"/>
        </w:rPr>
        <w:t xml:space="preserve">euro</w:t>
      </w:r>
      <w:r w:rsidR="00000000" w:rsidRPr="00000000" w:rsidDel="00000000">
        <w:rPr>
          <w:rtl w:val="0"/>
        </w:rPr>
        <w:t xml:space="preserve">, samazinot finanšu resursus (fiskālo telpu) prioritāro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Ministru kabineta 2022. gada 2. novembra sēdes protokollēmuma (prot. Nr. 55  22. §) 4. punktā doto uzdevumu par izpildītu.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22-TA-3312</w:t>
    </w:r>
    <w:r>
      <w:br/>
    </w:r>
    <w:r w:rsidR="00000000" w:rsidRPr="00000000" w:rsidDel="00000000">
      <w:rPr>
        <w:rtl w:val="0"/>
      </w:rPr>
      <w:t xml:space="preserve">Izdrukāts 29.07.2026. 21.17 - 1.0.VK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mk_sēdes_protokollēmuma_projekts_22-TA-3312.docx</dc:title>
</cp:coreProperties>
</file>

<file path=docProps/custom.xml><?xml version="1.0" encoding="utf-8"?>
<Properties xmlns="http://schemas.openxmlformats.org/officeDocument/2006/custom-properties" xmlns:vt="http://schemas.openxmlformats.org/officeDocument/2006/docPropsVTypes"/>
</file>