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14.1.1. specifiskā atbalsta mērķa "Atveseļošanas pasākumi izglītības nozarē (ESF)" 14.1.1.1. pasākuma "Digitalizācijas iniciatīvas studiju kvalitātes pilnveidei"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"Pasākumi Covid-19 pandēmijas seku mazināšanai (ESF)" 14.1.1. specifiskā atbalsta mērķa "Atveseļošanas pasākumi izglītības nozarē (ESF)" 14.1.1.1. pasākumu "Digitalizācijas iniciatīvas studiju kvalitātes pilnveidei"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vai līguma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augstskola – saskaņā ar Augstskolu likumu valsts vai privātpersonas dibināta un noteiktā kārtībā Latvijas Republikā reģistrēta un akreditēta augstskola;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digitalizācijas aģents (mentors) – projekta īstenošanas personāls, kura uzdevums ir sekmēt jaunā digitālā satura un tehnoloģisko risinājumu ieviešanu projekta iesniedzēja un sadarbības partnera institūcijā, nodrošinot pedagoģisko un tehnisko atbalstu docētājiem;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digitālie tehnoloģiskie risinājumi – informācijas tehnoloģiju integrēšana studiju procesā ar mērķi uzlabot studējošo digitālās prasmes un paaugstināt studiju efektivitāti un kvalitāti, lai studiju procesā mainītu tradicionālo mācīšanas un mācīšanās (</w:t>
      </w:r>
      <w:r w:rsidR="00000000" w:rsidRPr="00000000" w:rsidDel="00000000">
        <w:rPr>
          <w:i w:val="1"/>
          <w:rtl w:val="0"/>
        </w:rPr>
        <w:t xml:space="preserve">Teaching and Learning</w:t>
      </w:r>
      <w:r w:rsidR="00000000" w:rsidRPr="00000000" w:rsidDel="00000000">
        <w:rPr>
          <w:rtl w:val="0"/>
        </w:rPr>
        <w:t xml:space="preserve">) pieeju uz mūsdienīgu mācību pieredzi, integrējot digitālās tehnoloģijas studiju procesā, pedagoģiskajos paņēmienos un mācību novērtēšanas praksē, tādējādi stiprinot personalizētu mācīšanos, veicinot jēgpilnas individuālās un grupu mācības, labāku mācīšanās organizāciju, tostarp resursu koplietošanu un efektīvāku atgriezenisko saiti. Digitālie tehnoloģiskie risinājumi nodrošina atbalstu zināšanu apguvē, tostarp attīstot digitālās un virtuālās studiju vides, piemēram, simulatorus un digitālās laboratorijas, mākslīgā intelekta un mašīnmācīšanās tehnoloģiju integrāciju studiju procesā, paaugstina studiju efektivitāti un kvalitāti, sekmē resursu koplietošanu;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zinātniskā institūcija – Latvijas Republikas Zinātnisko institūciju reģistrā reģistrēts zinātniskais institūts.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ieviest digitalizācijas iniciatīvas augstskolās studiju kvalitātes pilnveidei.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augstskolas.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17.</w:t>
      </w:r>
      <w:r w:rsidR="00000000" w:rsidRPr="00000000" w:rsidDel="00000000">
        <w:rPr>
          <w:rtl w:val="0"/>
        </w:rPr>
        <w:t xml:space="preserve"> punktā minētās atbalstāmās darbības un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 augstskolu skaits, kuras saņēmušas Eiropas Sociālā fonda atbalstu digitalizācijas iniciatīvu ieviešanai, kas veicina mūsdienīgu, inovatīvos tehnoloģiskos risinājumos balstītu studiju procesu, – 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 augstskolu skaits, kuras ieviesušas digitalizācijas iniciatīvas, kas veicina mūsdienīgu, inovatīvos tehnoloģiskos risinājumos balstītu studiju procesu, – 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Pasākumam pieejamais kopējais attiecināmais finansējums ir 7 860 001 </w:t>
      </w:r>
      <w:r w:rsidR="00000000" w:rsidRPr="00000000" w:rsidDel="00000000">
        <w:rPr>
          <w:i w:val="1"/>
          <w:rtl w:val="0"/>
        </w:rPr>
        <w:t xml:space="preserve">euro</w:t>
      </w:r>
      <w:r w:rsidR="00000000" w:rsidRPr="00000000" w:rsidDel="00000000">
        <w:rPr>
          <w:rtl w:val="0"/>
        </w:rPr>
        <w:t xml:space="preserve">, tai skaitā Eiropas Sociālā fonda finansējums no programmas "Atveseļošanas palīdzība kohēzijai un Eiropas teritorijām" (turpmāk – </w:t>
      </w:r>
      <w:r w:rsidR="00000000" w:rsidRPr="00000000" w:rsidDel="00000000">
        <w:rPr>
          <w:i w:val="1"/>
          <w:rtl w:val="0"/>
        </w:rPr>
        <w:t xml:space="preserve">REACT-EU</w:t>
      </w:r>
      <w:r w:rsidR="00000000" w:rsidRPr="00000000" w:rsidDel="00000000">
        <w:rPr>
          <w:rtl w:val="0"/>
        </w:rPr>
        <w:t xml:space="preserve">) – 5 627 882 </w:t>
      </w:r>
      <w:r w:rsidR="00000000" w:rsidRPr="00000000" w:rsidDel="00000000">
        <w:rPr>
          <w:i w:val="1"/>
          <w:rtl w:val="0"/>
        </w:rPr>
        <w:t xml:space="preserve">euro</w:t>
      </w:r>
      <w:r w:rsidR="00000000" w:rsidRPr="00000000" w:rsidDel="00000000">
        <w:rPr>
          <w:rtl w:val="0"/>
        </w:rPr>
        <w:t xml:space="preserve"> un valsts budžeta finansējums – 2 232 119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augstskola īsteno projektu, kas nav kvalificējams kā komercdarbības atbalsts, un tā maksimālā publiskā finansējuma intensitāte ir 100 procenti. Maksimālais attiecināmais </w:t>
      </w:r>
      <w:r w:rsidR="00000000" w:rsidRPr="00000000" w:rsidDel="00000000">
        <w:rPr>
          <w:i w:val="1"/>
          <w:rtl w:val="0"/>
        </w:rPr>
        <w:t xml:space="preserve">REACT-EU</w:t>
      </w:r>
      <w:r w:rsidR="00000000" w:rsidRPr="00000000" w:rsidDel="00000000">
        <w:rPr>
          <w:rtl w:val="0"/>
        </w:rPr>
        <w:t xml:space="preserve"> finansējuma apmērs nepārsniedz 71,60 procentus no pasākumam pieejamā kopējā attiecināmā finansējuma.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var būt augstskola, kas pēc tam, kad ir noslēgta vienošanās vai līgums par projekta īstenošanu ar sadarbības iestādi un apstiprināts projekta iesniegums,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projekta iesniegumu iesniedz un projektu īsteno ar vismaz diviem sadarbības partneriem – augstskolām, projekta iesniegumā pamatojot to izvēli, nepieciešamību un norādot tās iesaisti atbalstāmo darbību īstenošanā. Papildus obligātajiem diviem sadarbības partneriem projekta iesniedzējs projektu var īstenot arī ar vairākiem sadarbības partneriem, tai skaitā citām augstskolām, zinātniskajām institūcijām, privātajām vai publiskajām organizācijām un ārvalstu augstskolām.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projekta iesniegumam pievieno sadarbības partnera apliecinājumu par gatavību piedalīties projekta īstenošanā. Pēc projekta iesnieguma apstiprināšanas projekta iesniedzējs ar katru sadarbības partneri slēdz sadarbības līgumu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2014.–2020. gadam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pasākuma ietvaros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minimālais kopējais attiecināmais finansējuma apmērs ir 600 000 </w:t>
      </w:r>
      <w:r w:rsidR="00000000" w:rsidRPr="00000000" w:rsidDel="00000000">
        <w:rPr>
          <w:i w:val="1"/>
          <w:rtl w:val="0"/>
        </w:rPr>
        <w:t xml:space="preserve">euro</w:t>
      </w:r>
      <w:r w:rsidR="00000000" w:rsidRPr="00000000" w:rsidDel="00000000">
        <w:rPr>
          <w:rtl w:val="0"/>
        </w:rPr>
        <w:t xml:space="preserve">, projekta maksimālais kopējais attiecināmais finansējuma apmērs ir 2 600 000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augstskolu digitālās kapacitātes stiprināšana, pilnveidojot studiju saturu un mācību metodiku studējošo digitālo prasmju attīstīšanai, tai skaitā ieviešot un integrējot digitālos tehnoloģiskos risinājumus studiju saturā un studiju procesā;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konsultatīvs atbalsts docētājiem jaunā digitālā satura, mācību metožu un tehnoloģisko risinājumu ieviešanai;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17.1. apakšpunktā minētās augstskolu digitālās kapacitātes stiprināšanai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digitālo prasmju studiju satura un atbilstošas mācību metodikas iegāde, izstrāde vai pilnveide, tai skaitā pārņemot pasaules labo praksi un adaptējot 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inovatīvu digitālo tehnoloģisko risinājumu integrēšana studiju saturā, tai skaitā praktisko un pētniecisko darbu īstenošanai jaunā digitālā satura ieviešanā;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mākslīgā intelekta un mašīnmācīšanās tehnoloģiju integrēšana studiju saturā un studiju procesā;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procesa datu ieguves un analīzes risinājumu (</w:t>
      </w:r>
      <w:r w:rsidR="00000000" w:rsidRPr="00000000" w:rsidDel="00000000">
        <w:rPr>
          <w:i w:val="1"/>
          <w:rtl w:val="0"/>
        </w:rPr>
        <w:t xml:space="preserve">learning analytics</w:t>
      </w:r>
      <w:r w:rsidR="00000000" w:rsidRPr="00000000" w:rsidDel="00000000">
        <w:rPr>
          <w:rtl w:val="0"/>
        </w:rPr>
        <w:t xml:space="preserve">) ieviešana, tai skaitā pielāgošana un modernizēšana;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attālināto pārbaudījumu veikšanas un zināšanu novērtēšanas tehnoloģiju ieviešana, lai nodrošinātu efektīvāku atgriezenisko saiti;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digitālo tehnoloģisko risinājumu ieviešanai nepieciešamā tehniskā aprīkojuma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18.6. apakšpunktā minētā tehniskā aprīkojuma nodrošināšanai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tehniskā aprīkojuma iegāde, kas saistīts ar programmatūru, datu glabāšanas iekārtām un sistēmām;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esošo datu centru datu masīvu papildināšana un esošo datu masīvu veiktspējas palielināšana;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iegādātā tehniskā aprīkojuma uzstādīšana, konfigurēšana, pielāgošana, testēšana un apkalpojošā personāla instruktāža;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 aprīkojuma iepirkumu dokumentācijas sagatavošana un iepirkumu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17.3.</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 minēto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tai skaitā ekspertu, speciālistu, konsultantu, tostarp ārvalstu, atlīdzības izmaksas, izņemot virsstundas,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un </w:t>
      </w:r>
      <w:r w:rsidR="00000000" w:rsidRPr="00000000" w:rsidDel="00000000">
        <w:rPr>
          <w:rtl w:val="0"/>
        </w:rPr>
        <w:t xml:space="preserve">19.4.</w:t>
      </w:r>
      <w:r w:rsidR="00000000" w:rsidRPr="00000000" w:rsidDel="00000000">
        <w:rPr>
          <w:rtl w:val="0"/>
        </w:rPr>
        <w:t xml:space="preserve"> apakšpunktā minēto darbību īstenošanai, kā arī digitalizācijas aģentu (mentoru) izmaksas šo noteikumu 17.1. un 17.2. apakšpunktā minētās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darba vietu aprīkojuma, biroja mēbeļu, tehnikas, datorprogrammu un licenču iegādes vai īres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darba braucienu izmaksas projekta vadības personālam šo noteikumu </w:t>
      </w:r>
      <w:r w:rsidR="00000000" w:rsidRPr="00000000" w:rsidDel="00000000">
        <w:rPr>
          <w:rtl w:val="0"/>
        </w:rPr>
        <w:t xml:space="preserve">17.3.</w:t>
      </w:r>
      <w:r w:rsidR="00000000" w:rsidRPr="00000000" w:rsidDel="00000000">
        <w:rPr>
          <w:rtl w:val="0"/>
        </w:rPr>
        <w:t xml:space="preserve"> apakšpunktā minētās darbības īstenošanai, kā arī iekšzemes un ārvalstu komandējumu un darba braucienu izmaksas projekta īstenošanas personālam šo noteikumu 17.1., 17.2. un 19.3. apakšpunktā minēto darbību īstenošanai atbilstoši normatīvajiem aktiem par kārtību, kādā atlīdzināmi ar komandējumiem saistītie izdevumi, ja tās ir pamatotas un saistītas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ekspertu piesaistes izmaksas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w:t>
      </w:r>
      <w:r w:rsidR="00000000" w:rsidRPr="00000000" w:rsidDel="00000000">
        <w:rPr>
          <w:rtl w:val="0"/>
        </w:rPr>
        <w:t xml:space="preserve"> apakšpunktā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un piegādes izmaksas šo noteikumu </w:t>
      </w:r>
      <w:r w:rsidR="00000000" w:rsidRPr="00000000" w:rsidDel="00000000">
        <w:rPr>
          <w:rtl w:val="0"/>
        </w:rPr>
        <w:t xml:space="preserve">17.1.</w:t>
      </w:r>
      <w:r w:rsidR="00000000" w:rsidRPr="00000000" w:rsidDel="00000000">
        <w:rPr>
          <w:rtl w:val="0"/>
        </w:rPr>
        <w:t xml:space="preserve"> apakšpunktā minēto atbalstāmo darbību īstenošanai, tai skaitā mākoņpakalpojumu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tehniskā aprīkojuma un inventāra iegādes izmaksas šo noteikumu </w:t>
      </w:r>
      <w:r w:rsidR="00000000" w:rsidRPr="00000000" w:rsidDel="00000000">
        <w:rPr>
          <w:rtl w:val="0"/>
        </w:rPr>
        <w:t xml:space="preserve">18.6.</w:t>
      </w:r>
      <w:r w:rsidR="00000000" w:rsidRPr="00000000" w:rsidDel="00000000">
        <w:rPr>
          <w:rtl w:val="0"/>
        </w:rPr>
        <w:t xml:space="preserve"> apakšpunktā minēto atbalstāmo darbību īstenošanai, ja to iegāde ir tieši nepieciešama šo noteikumu 17.1. punktā minētā digitālo prasmju studiju satura īstenošanai un digitālo tehnoloģisko risinājumu ieviešanai;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licenču iegādes izmaksas, tai skaitā licenču atjauninājumu iegādes izmaksas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w:t>
      </w:r>
      <w:r w:rsidR="00000000" w:rsidRPr="00000000" w:rsidDel="00000000">
        <w:rPr>
          <w:rtl w:val="0"/>
        </w:rPr>
        <w:t xml:space="preserve"> apakšpunktā minēto darbību īstenošanai licenču darbības periodā, kas nepārsniedz projekta īstenošanas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par kārtību, kādā Eiropas Savienības struktūrfondu un Kohēzijas fonda ieviešanā 2014.–2020. gada plānošanas periodā nodrošināma komunikācijas un vizuālās identitātes prasību ievērošana šo noteikumu 17.4. apakšpunktā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20.7.</w:t>
      </w:r>
      <w:r w:rsidR="00000000" w:rsidRPr="00000000" w:rsidDel="00000000">
        <w:rPr>
          <w:rtl w:val="0"/>
        </w:rPr>
        <w:t xml:space="preserve"> apakšpunktā minētās izmaksas nepārsniedz 20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20.1.</w:t>
      </w:r>
      <w:r w:rsidR="00000000" w:rsidRPr="00000000" w:rsidDel="00000000">
        <w:rPr>
          <w:rtl w:val="0"/>
        </w:rPr>
        <w:t xml:space="preserve"> apakšpunktā minētās tiešās attiecināmās personāla izmaksas, finansējuma saņēmējs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Netiešās attiecināmās izmaksas plāno kā vienu izmaksu pozīciju, piemērojot netiešo izmaksu vienoto likmi 15 procentu apmērā no šo noteikumu </w:t>
      </w:r>
      <w:r w:rsidR="00000000" w:rsidRPr="00000000" w:rsidDel="00000000">
        <w:rPr>
          <w:rtl w:val="0"/>
        </w:rPr>
        <w:t xml:space="preserve">20.1.</w:t>
      </w:r>
      <w:r w:rsidR="00000000" w:rsidRPr="00000000" w:rsidDel="00000000">
        <w:rPr>
          <w:rtl w:val="0"/>
        </w:rPr>
        <w:t xml:space="preserve"> apakšpunktā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nodoklis uzskatāms par attiecināmām izmaksām, ja tas nav atgūstams atbilstoši Latvijas Republikas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20.6.</w:t>
      </w:r>
      <w:r w:rsidR="00000000" w:rsidRPr="00000000" w:rsidDel="00000000">
        <w:rPr>
          <w:rtl w:val="0"/>
        </w:rPr>
        <w:t xml:space="preserve"> apakšpunktā minētais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finansējuma saņēmējam izmaksas ir attiecināmas, ja tās atbilst šajos noteikumos minētajām izmaksu pozīcijām un ir radušās no dienas, kad noslēgta vienošanās vai līgums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partneriem izmaksas ir attiecināmas pēc šo noteikumu 13. punktā minēto sadarbības līgumu noslēgšanas, bet ne agrāk kā no dienas, kad noslēgta vienošanās vai līgums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projekta ietvaros plānotajām atbalstāmajām darbībām nodrošina sinerģiju, papildinātību un nepārklāšanos ar citām augstskolas e-risinājumu ieviešanas un studiju programmu satura pilnveidi veicinošām atbalsta programmām.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Sadarbības iestāde projektu iesniegumu atlasē nodrošina atbilstošu Eiropas Komisijas ekspertu datubāzē iekļautu ekspertu piesaisti, izmantojot šādus atlases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ekspertam ir vismaz maģistra grāds;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ekspertam pēdējo četru gadu laikā ir bijusi pieredze augstākās izglītības digitālās transformācijas pētniecībā vai augstākās izglītības digitalizācijas projektu īstenošanā, piemēram, digitālo prasmju apguves satura izstrādē, informācijas sistēmu un tehnoloģiju izstrādē un integrēšanā augstākās izglītības studiju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ekspertam ir vēlama pieredze Ekonomiskās sadarbības un attīstības organizācijas vai citos līdzvērtīgos starptautiskā līmeņa pētījumos augstākajā izglītībā.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Projektu īstenošanas uzraudzībai Izglītības un zinātnes ministrija kopīgi ar sadarbības iestādi nodrošina projekta gala rezultātu kvalitātes izvērtējumu,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 veic Eiropas Komisijas ekspertu datubāzē iekļauti eksperti, kas atbilst šo noteikumu </w:t>
      </w:r>
      <w:r w:rsidR="00000000" w:rsidRPr="00000000" w:rsidDel="00000000">
        <w:rPr>
          <w:rtl w:val="0"/>
        </w:rPr>
        <w:t xml:space="preserve">30.</w:t>
      </w:r>
      <w:r w:rsidR="00000000" w:rsidRPr="00000000" w:rsidDel="00000000">
        <w:rPr>
          <w:rtl w:val="0"/>
        </w:rPr>
        <w:t xml:space="preserve"> 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izstrādā izvērtējuma standartformu, tai skaitā ietverot prasību ekspertam izvērtēt un pamatot, cik lielā mērā ir sasniegti projektā plānotie rezultāti, novērtējumu izsakot arī procentos;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gala rezultātu izvērtējumu sadarbības iestāde izmanto lēmuma pieņemšanā par projekta mērķa un plānoto rezultātu sasniegšanu. Pamatojoties uz minēto gala izvērtējumu, sadarbības iestāde pieņem lēmumu par finanšu korekcijas piemērošanu atbilstoši vadošās iestādes vadlīnijām par finanšu korekciju piemērošanu Eiropas Savienības struktūrfondu projektos. Par minēto lēmumu sadarbības iestāde informē atbildīgo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projektu īsteno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Pasākums tiek īstenots sasaistē ar darbības programmas "Izaugsme un nodarbinātība" 8.2.3. specifisko atbalsta mērķi "Nodrošināt labāku pārvaldību augstākās izglītības institūcijās".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projekta īstenošanas laikā finansējuma saņēmējam ir paredzēts avanss, to var izmaksāt pa daļām. Viens avansa maksājums nepārsniedz 30 procentus no projektam piešķirtā Eiropas Sociālā fonda finansējuma un valsts budžeta finansējuma kopsummas. Ievērojot drošas finanšu vadības principus, finansējuma saņēmējiem, kuriem ir no valsts budžeta daļēji finansētas atvasinātas publiskas personas statuss un kuri projektu īsteno tiem deleģēto valsts pārvaldes uzdevumu ietvaros, avansa un starpposma maksājumu kopsumma var būt 100 procenti no projektam piešķirtā Eiropas Sociālā fonda finansējuma un valsts budžeta finansējuma kopsummas. Ievērojot drošas finanšu vadības principus, finansējuma saņēmējiem, kas ir privātpersonu dibinātas augstskolas, avansa un starpposma maksājumu kopsumma var būt 90 procenti no projektā paredzētā Eiropas Sociālā fonda finansējuma un valsts budžeta 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XII pielikuma 2.2. apakšpunktā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ne retāk kā reizi trijos mēnešos savā tīmekļvietnē ievieto aktuālo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preču un pakalpojumu iegādi veic saskaņā ar publisko iepirkumu reglamentējošajiem normatīvajiem aktiem, īstenojot atklātu, pārredzamu, nediskriminējošu un konkurenci nodrošinošu konkursa procedūru. Atbalstāma ir vides prasību integrācija preču un pakalpojumu iepirkumos (zaļais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Sadarbības iestādei ir tiesības vienpusēji atkāpties no līguma vai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vai vienošanos par projekta īstenošanu, tai skaitā projekta īstenošana nenotiek atbilstoši projektā noteiktajiem termiņiem vai ir iestājušies citi apstākļi, kas ietekmē vai var ietekmēt šo noteikumu </w:t>
      </w:r>
      <w:r w:rsidR="00000000" w:rsidRPr="00000000" w:rsidDel="00000000">
        <w:rPr>
          <w:rtl w:val="0"/>
        </w:rPr>
        <w:t xml:space="preserve">3.</w:t>
      </w:r>
      <w:r w:rsidR="00000000" w:rsidRPr="00000000" w:rsidDel="00000000">
        <w:rPr>
          <w:rtl w:val="0"/>
        </w:rPr>
        <w:t xml:space="preserve"> punktā minētā pasākuma mērķa un šo noteikumu 5.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līgums vai vienošanās par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22-TA-3268</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22-TA-3268</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noteikumu_konsolidētā_versija_22-TA-3268.docx</dc:title>
</cp:coreProperties>
</file>

<file path=docProps/custom.xml><?xml version="1.0" encoding="utf-8"?>
<Properties xmlns="http://schemas.openxmlformats.org/officeDocument/2006/custom-properties" xmlns:vt="http://schemas.openxmlformats.org/officeDocument/2006/docPropsVTypes"/>
</file>