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728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13. novembrī (prot. Nr. 46 32.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Apstiprināt Latvijas Atveseļošanas un noturības mehānisma plāna trešo papildinājumu (sākotnējais plāns apstiprināts ar Ministru kabineta 2021. gada 28. aprīļa rīkojumu Nr. 292 </w:t>
      </w:r>
      <w:r w:rsidR="00000000" w:rsidRPr="00000000" w:rsidDel="00000000">
        <w:rPr>
          <w:rtl w:val="0"/>
        </w:rPr>
        <w:t xml:space="preserve">"Par Latvijas Atveseļošanas un noturības mehānisma plānu"</w:t>
      </w:r>
      <w:r w:rsidR="00000000" w:rsidRPr="00000000" w:rsidDel="00000000">
        <w:rPr>
          <w:rtl w:val="0"/>
        </w:rPr>
        <w:t xml:space="preserve"> (Latvijas Vēstnesis, 2021, 86. nr.)).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25-TA-2302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25-TA-2302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