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fondēto pensiju shēmas līdzekļu pārvaldītājs aprēķina maksājumu par ieguldījumu plāna pārvaldi, un kārtība, kādā tiek veikta minētā maksājuma uzskaite un ieturēšana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fondēto pensiju likuma</w:t>
      </w:r>
      <w:r>
        <w:br/>
      </w:r>
      <w:r w:rsidR="00000000" w:rsidRPr="00000000" w:rsidDel="00000000">
        <w:rPr>
          <w:rStyle w:val="paragraph"/>
          <w:i w:val="1"/>
          <w:rtl w:val="0"/>
        </w:rPr>
        <w:t xml:space="preserve">11. panta 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daļas 2. punktu un 11. panta 5.</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fondēto pensiju shēmas līdzekļu pārvaldītājs (turpmāk – pārvaldītājs) aprēķina maksājuma par ieguldījumu plāna pārvaldi (turpmāk – maksājums) pastāvīgo un mainīgo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tiek veikta maksājuma pastāvīgās un mainīgās daļas uzskaite un ieturēšana.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aprēķina diena – diena, par kuru noteikta ieguldījumu plāna vērtība un ieguldījumu plāna daļas vērtība;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daļas vērtība (DV) – ieguldījumu plāna daļas vērtība aprēķina dienā pēc maksājuma pastāvīgās un mainīgās daļas ieturēšanas;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nepilnā daļas vērtība (DVN) – ieguldījumu plāna daļas vērtība aprēķina dienā pirms maksājuma mainīgās daļas ieturēšanas;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atskaites indekss (AI) – indekss, ko izmanto DVN pieauguma (DVNP) salīdzināšanai un maksājuma mainīgās daļas aprēķinam. AI veidots kā parāda vērtspapīru (turpmāk – obligācijas) un kapitāla vērtspapīru (turpmāk – akcijas) indeksu kombinācija;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perioda sākuma diena – diena, ko izmanto nepilnās daļas vērtības pieauguma (DVNP) un atskaites indeksa pieauguma (AIP) aprēķinā. Perioda sākuma diena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aprēķina diena, ja aprēķins veikts par vienu aprēķina dienu;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iepriekšējā gada pēdējā aprēķina diena, ja aprēķins veikts par periodu no gada sākuma;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paša datuma aprēķina diena pirms astoņiem gadiem vai, ja par šo datumu nav aprēķina dienas, pirmā pieejamā aprēķina diena pirms šā paša datuma aprēķina dienas pirms astoņiem gadiem, ja aprēķins veikts par astoņu gadu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maksimālais kapitāla vērtspapīru īpatsvars (MKVI) – ieguldījumu plāna prospektā noteiktais maksimālais ieguldījumu īpatsvars kapitāla vērtspapīros, alternatīvo ieguldījumu fondos vai tādos ieguldījumu fondos, kas var veikt ieguldījumus kapitāla vērtspapīros vai citos riska ziņā tiem pielīdzināmos finanšu instrumentos;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akciju koeficients (KAP) – akciju indeksa vai vairāku akciju indeksu īpatsvars kopējā AI, ko veido akciju un obligāciju indeksi.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DVN pieaugumu (DVNP), ko ieguldījumu plāns nopelnījis vai zaudējis pirms maksājuma mainīgās daļas ieturēšanas aprēķina dienā,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343025" cy="381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1343025" cy="381000"/>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DVNP</w:t>
      </w:r>
      <w:r w:rsidR="00000000" w:rsidRPr="00000000" w:rsidDel="00000000">
        <w:rPr>
          <w:vertAlign w:val="subscript"/>
          <w:rtl w:val="0"/>
        </w:rPr>
        <w:t xml:space="preserve">t</w:t>
      </w:r>
      <w:r w:rsidR="00000000" w:rsidRPr="00000000" w:rsidDel="00000000">
        <w:rPr>
          <w:rtl w:val="0"/>
        </w:rPr>
        <w:t xml:space="preserve"> – DVNP aprēķina dienā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w:t>
      </w:r>
      <w:r w:rsidR="00000000" w:rsidRPr="00000000" w:rsidDel="00000000">
        <w:rPr>
          <w:vertAlign w:val="subscript"/>
          <w:rtl w:val="0"/>
        </w:rPr>
        <w:t xml:space="preserve">t</w:t>
      </w:r>
      <w:r w:rsidR="00000000" w:rsidRPr="00000000" w:rsidDel="00000000">
        <w:rPr>
          <w:rtl w:val="0"/>
        </w:rPr>
        <w:t xml:space="preserve"> – aprēķina dienas DVN;</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w:t>
      </w:r>
      <w:r w:rsidR="00000000" w:rsidRPr="00000000" w:rsidDel="00000000">
        <w:rPr>
          <w:vertAlign w:val="subscript"/>
          <w:rtl w:val="0"/>
        </w:rPr>
        <w:t xml:space="preserve">0</w:t>
      </w:r>
      <w:r w:rsidR="00000000" w:rsidRPr="00000000" w:rsidDel="00000000">
        <w:rPr>
          <w:rtl w:val="0"/>
        </w:rPr>
        <w:t xml:space="preserve"> – perioda sākuma dienas DV.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2025. gada 31. decembrim (ieskaitot) AIP aprēķina, izmantojot šādu formulu: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4638675" cy="62865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4638675" cy="628650"/>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AIP</w:t>
      </w:r>
      <w:r w:rsidR="00000000" w:rsidRPr="00000000" w:rsidDel="00000000">
        <w:rPr>
          <w:vertAlign w:val="subscript"/>
          <w:rtl w:val="0"/>
        </w:rPr>
        <w:t xml:space="preserve">t</w:t>
      </w:r>
      <w:r w:rsidR="00000000" w:rsidRPr="00000000" w:rsidDel="00000000">
        <w:rPr>
          <w:rtl w:val="0"/>
        </w:rPr>
        <w:t xml:space="preserve"> – perioda AIP aprēķina dienā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t</w:t>
      </w:r>
      <w:r w:rsidR="00000000" w:rsidRPr="00000000" w:rsidDel="00000000">
        <w:rPr>
          <w:i w:val="1"/>
          <w:rtl w:val="0"/>
        </w:rPr>
        <w:t xml:space="preserve"> </w:t>
      </w:r>
      <w:r w:rsidR="00000000" w:rsidRPr="00000000" w:rsidDel="00000000">
        <w:rPr>
          <w:rtl w:val="0"/>
        </w:rPr>
        <w:t xml:space="preserve">– aprēķina dienas obligāciju indekss </w:t>
      </w:r>
      <w:r w:rsidR="00000000" w:rsidRPr="00000000" w:rsidDel="00000000">
        <w:rPr>
          <w:i w:val="1"/>
          <w:rtl w:val="0"/>
        </w:rPr>
        <w:t xml:space="preserve">Bloomberg Barclays Euro Aggregate Total Return Euro Unhedged </w:t>
      </w:r>
      <w:r w:rsidR="00000000" w:rsidRPr="00000000" w:rsidDel="00000000">
        <w:rPr>
          <w:rtl w:val="0"/>
        </w:rPr>
        <w:t xml:space="preserve">(</w:t>
      </w:r>
      <w:r w:rsidR="00000000" w:rsidRPr="00000000" w:rsidDel="00000000">
        <w:rPr>
          <w:i w:val="1"/>
          <w:rtl w:val="0"/>
        </w:rPr>
        <w:t xml:space="preserve">LBEATREU Index, FIGI BBG002SG6D04</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0</w:t>
      </w:r>
      <w:r w:rsidR="00000000" w:rsidRPr="00000000" w:rsidDel="00000000">
        <w:rPr>
          <w:i w:val="1"/>
          <w:rtl w:val="0"/>
        </w:rPr>
        <w:t xml:space="preserve"> </w:t>
      </w:r>
      <w:r w:rsidR="00000000" w:rsidRPr="00000000" w:rsidDel="00000000">
        <w:rPr>
          <w:rtl w:val="0"/>
        </w:rPr>
        <w:t xml:space="preserve">– perioda sākuma dienas obligāciju indekss </w:t>
      </w:r>
      <w:r w:rsidR="00000000" w:rsidRPr="00000000" w:rsidDel="00000000">
        <w:rPr>
          <w:i w:val="1"/>
          <w:rtl w:val="0"/>
        </w:rPr>
        <w:t xml:space="preserve">Bloomberg Barclays Euro Aggregate Total Return Euro Unhedged </w:t>
      </w:r>
      <w:r w:rsidR="00000000" w:rsidRPr="00000000" w:rsidDel="00000000">
        <w:rPr>
          <w:rtl w:val="0"/>
        </w:rPr>
        <w:t xml:space="preserve">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SXXR</w:t>
      </w:r>
      <w:r w:rsidR="00000000" w:rsidRPr="00000000" w:rsidDel="00000000">
        <w:rPr>
          <w:i w:val="1"/>
          <w:vertAlign w:val="subscript"/>
          <w:rtl w:val="0"/>
        </w:rPr>
        <w:t xml:space="preserve">t</w:t>
      </w:r>
      <w:r w:rsidR="00000000" w:rsidRPr="00000000" w:rsidDel="00000000">
        <w:rPr>
          <w:rtl w:val="0"/>
        </w:rPr>
        <w:t xml:space="preserve"> – aprēķina dienas akciju indekss </w:t>
      </w:r>
      <w:r w:rsidR="00000000" w:rsidRPr="00000000" w:rsidDel="00000000">
        <w:rPr>
          <w:i w:val="1"/>
          <w:rtl w:val="0"/>
        </w:rPr>
        <w:t xml:space="preserve">STOXX Europe 600 Net Return </w:t>
      </w:r>
      <w:r w:rsidR="00000000" w:rsidRPr="00000000" w:rsidDel="00000000">
        <w:rPr>
          <w:rtl w:val="0"/>
        </w:rPr>
        <w:t xml:space="preserve">(</w:t>
      </w:r>
      <w:r w:rsidR="00000000" w:rsidRPr="00000000" w:rsidDel="00000000">
        <w:rPr>
          <w:i w:val="1"/>
          <w:rtl w:val="0"/>
        </w:rPr>
        <w:t xml:space="preserve">SXXR Index, FIGI BBG000P5N0N9, ISIN EU0009658210</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SXXR</w:t>
      </w:r>
      <w:r w:rsidR="00000000" w:rsidRPr="00000000" w:rsidDel="00000000">
        <w:rPr>
          <w:i w:val="1"/>
          <w:vertAlign w:val="subscript"/>
          <w:rtl w:val="0"/>
        </w:rPr>
        <w:t xml:space="preserve">0</w:t>
      </w:r>
      <w:r w:rsidR="00000000" w:rsidRPr="00000000" w:rsidDel="00000000">
        <w:rPr>
          <w:rtl w:val="0"/>
        </w:rPr>
        <w:t xml:space="preserve"> – perioda sākuma dienas akciju indekss </w:t>
      </w:r>
      <w:r w:rsidR="00000000" w:rsidRPr="00000000" w:rsidDel="00000000">
        <w:rPr>
          <w:i w:val="1"/>
          <w:rtl w:val="0"/>
        </w:rPr>
        <w:t xml:space="preserve">STOXX Europe 600 Net Return</w:t>
      </w:r>
      <w:r w:rsidR="00000000" w:rsidRPr="00000000" w:rsidDel="00000000">
        <w:rPr>
          <w:rtl w:val="0"/>
        </w:rPr>
        <w:t xml:space="preserve">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Veicot šo noteikumu </w:t>
      </w:r>
      <w:r w:rsidR="00000000" w:rsidRPr="00000000" w:rsidDel="00000000">
        <w:rPr>
          <w:rtl w:val="0"/>
        </w:rPr>
        <w:t xml:space="preserve">4.</w:t>
      </w:r>
      <w:r w:rsidR="00000000" w:rsidRPr="00000000" w:rsidDel="00000000">
        <w:rPr>
          <w:rtl w:val="0"/>
        </w:rPr>
        <w:t xml:space="preserve"> punktā minētos aprēķinus: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28. februārim (ieskaitot), izmanto šādas KAP</w:t>
      </w:r>
      <w:r w:rsidR="00000000" w:rsidRPr="00000000" w:rsidDel="00000000">
        <w:rPr>
          <w:vertAlign w:val="subscript"/>
          <w:rtl w:val="0"/>
        </w:rPr>
        <w:t xml:space="preserve">t</w:t>
      </w:r>
      <w:r w:rsidR="00000000" w:rsidRPr="00000000" w:rsidDel="00000000">
        <w:rPr>
          <w:rtl w:val="0"/>
        </w:rPr>
        <w:t xml:space="preserve"> vērtības: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w:t>
      </w:r>
      <w:r w:rsidR="00000000" w:rsidRPr="00000000" w:rsidDel="00000000">
        <w:rPr>
          <w:vertAlign w:val="subscript"/>
          <w:rtl w:val="0"/>
        </w:rPr>
        <w:t xml:space="preserve">t</w:t>
      </w:r>
      <w:r w:rsidR="00000000" w:rsidRPr="00000000" w:rsidDel="00000000">
        <w:rPr>
          <w:rtl w:val="0"/>
        </w:rPr>
        <w:t xml:space="preserve"> = 0,72, ja ieguldījuma plāna MKVI ir no 75 % (neieskaitot) līdz 100 % (ieskaitot);</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w:t>
      </w:r>
      <w:r w:rsidR="00000000" w:rsidRPr="00000000" w:rsidDel="00000000">
        <w:rPr>
          <w:vertAlign w:val="subscript"/>
          <w:rtl w:val="0"/>
        </w:rPr>
        <w:t xml:space="preserve">t</w:t>
      </w:r>
      <w:r w:rsidR="00000000" w:rsidRPr="00000000" w:rsidDel="00000000">
        <w:rPr>
          <w:rtl w:val="0"/>
        </w:rPr>
        <w:t xml:space="preserve"> = 0,54, ja ieguldījuma plāna MKVI ir no 50 % (neieskaitot) līdz 75 % (ieskaitot);</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w:t>
      </w:r>
      <w:r w:rsidR="00000000" w:rsidRPr="00000000" w:rsidDel="00000000">
        <w:rPr>
          <w:vertAlign w:val="subscript"/>
          <w:rtl w:val="0"/>
        </w:rPr>
        <w:t xml:space="preserve">t</w:t>
      </w:r>
      <w:r w:rsidR="00000000" w:rsidRPr="00000000" w:rsidDel="00000000">
        <w:rPr>
          <w:rtl w:val="0"/>
        </w:rPr>
        <w:t xml:space="preserve"> = 0,36, ja ieguldījuma plāna MKVI ir no 25 % (neieskaitot) līdz 50 % (ieskaitot);</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w:t>
      </w:r>
      <w:r w:rsidR="00000000" w:rsidRPr="00000000" w:rsidDel="00000000">
        <w:rPr>
          <w:vertAlign w:val="subscript"/>
          <w:rtl w:val="0"/>
        </w:rPr>
        <w:t xml:space="preserve">t</w:t>
      </w:r>
      <w:r w:rsidR="00000000" w:rsidRPr="00000000" w:rsidDel="00000000">
        <w:rPr>
          <w:rtl w:val="0"/>
        </w:rPr>
        <w:t xml:space="preserve"> = 0,18, ja ieguldījuma plāna MKVI ir no 0 % (neieskaitot) līdz 25 % (ieskaitot);</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w:t>
      </w:r>
      <w:r w:rsidR="00000000" w:rsidRPr="00000000" w:rsidDel="00000000">
        <w:rPr>
          <w:vertAlign w:val="subscript"/>
          <w:rtl w:val="0"/>
        </w:rPr>
        <w:t xml:space="preserve">t</w:t>
      </w:r>
      <w:r w:rsidR="00000000" w:rsidRPr="00000000" w:rsidDel="00000000">
        <w:rPr>
          <w:rtl w:val="0"/>
        </w:rPr>
        <w:t xml:space="preserve"> = 0,0, ja ieguldījumu plāna prospektā nav paredzēti ieguldījumi akcijās;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laikposmā no 2025. gada 1. marta līdz 2025. gada 31. decembrim (ieskaitot), KAP</w:t>
      </w:r>
      <w:r w:rsidR="00000000" w:rsidRPr="00000000" w:rsidDel="00000000">
        <w:rPr>
          <w:vertAlign w:val="subscript"/>
          <w:rtl w:val="0"/>
        </w:rPr>
        <w:t xml:space="preserve">t</w:t>
      </w:r>
      <w:r w:rsidR="00000000" w:rsidRPr="00000000" w:rsidDel="00000000">
        <w:rPr>
          <w:rtl w:val="0"/>
        </w:rPr>
        <w:t xml:space="preserve"> aprēķina, no MKVI</w:t>
      </w:r>
      <w:r w:rsidR="00000000" w:rsidRPr="00000000" w:rsidDel="00000000">
        <w:rPr>
          <w:vertAlign w:val="subscript"/>
          <w:rtl w:val="0"/>
        </w:rPr>
        <w:t xml:space="preserve">t</w:t>
      </w:r>
      <w:r w:rsidR="00000000" w:rsidRPr="00000000" w:rsidDel="00000000">
        <w:rPr>
          <w:rtl w:val="0"/>
        </w:rPr>
        <w:t xml:space="preserve"> atņemot 10 procentpunktus (KAP</w:t>
      </w:r>
      <w:r w:rsidR="00000000" w:rsidRPr="00000000" w:rsidDel="00000000">
        <w:rPr>
          <w:vertAlign w:val="subscript"/>
          <w:rtl w:val="0"/>
        </w:rPr>
        <w:t xml:space="preserve">t</w:t>
      </w:r>
      <w:r w:rsidR="00000000" w:rsidRPr="00000000" w:rsidDel="00000000">
        <w:rPr>
          <w:rtl w:val="0"/>
        </w:rPr>
        <w:t xml:space="preserve"> = MKVI</w:t>
      </w:r>
      <w:r w:rsidR="00000000" w:rsidRPr="00000000" w:rsidDel="00000000">
        <w:rPr>
          <w:vertAlign w:val="subscript"/>
          <w:rtl w:val="0"/>
        </w:rPr>
        <w:t xml:space="preserve">t</w:t>
      </w:r>
      <w:r w:rsidR="00000000" w:rsidRPr="00000000" w:rsidDel="00000000">
        <w:rPr>
          <w:rtl w:val="0"/>
        </w:rPr>
        <w:t xml:space="preserve"> – 10 %), kur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MKVI</w:t>
      </w:r>
      <w:r w:rsidR="00000000" w:rsidRPr="00000000" w:rsidDel="00000000">
        <w:rPr>
          <w:vertAlign w:val="subscript"/>
          <w:rtl w:val="0"/>
        </w:rPr>
        <w:t xml:space="preserve">t</w:t>
      </w:r>
      <w:r w:rsidR="00000000" w:rsidRPr="00000000" w:rsidDel="00000000">
        <w:rPr>
          <w:rtl w:val="0"/>
        </w:rPr>
        <w:t xml:space="preserve"> – aprēķina dienas MKVI;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w:t>
      </w:r>
      <w:r w:rsidR="00000000" w:rsidRPr="00000000" w:rsidDel="00000000">
        <w:rPr>
          <w:vertAlign w:val="subscript"/>
          <w:rtl w:val="0"/>
        </w:rPr>
        <w:t xml:space="preserve">t</w:t>
      </w:r>
      <w:r w:rsidR="00000000" w:rsidRPr="00000000" w:rsidDel="00000000">
        <w:rPr>
          <w:rtl w:val="0"/>
        </w:rPr>
        <w:t xml:space="preserve"> – aprēķina dienas koeficients. KAP</w:t>
      </w:r>
      <w:r w:rsidR="00000000" w:rsidRPr="00000000" w:rsidDel="00000000">
        <w:rPr>
          <w:vertAlign w:val="subscript"/>
          <w:rtl w:val="0"/>
        </w:rPr>
        <w:t xml:space="preserve">t</w:t>
      </w:r>
      <w:r w:rsidR="00000000" w:rsidRPr="00000000" w:rsidDel="00000000">
        <w:rPr>
          <w:rtl w:val="0"/>
        </w:rPr>
        <w:t xml:space="preserve"> ir 0, ja ieguldījumu plāna MKVI</w:t>
      </w:r>
      <w:r w:rsidR="00000000" w:rsidRPr="00000000" w:rsidDel="00000000">
        <w:rPr>
          <w:vertAlign w:val="subscript"/>
          <w:rtl w:val="0"/>
        </w:rPr>
        <w:t xml:space="preserve">t</w:t>
      </w:r>
      <w:r w:rsidR="00000000" w:rsidRPr="00000000" w:rsidDel="00000000">
        <w:rPr>
          <w:rtl w:val="0"/>
        </w:rPr>
        <w:t xml:space="preserve"> ir vienāds vai mazāks par 10 %.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AI sākotnējā vērtība 2017. gada 31. decembrī vai ieguldījumu plāna pirmajā aprēķina dienā, ja plāns reģistrēts pēc 2017. gada 31. decembra, ir 100.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Sākot ar 2026. gada 1. janvāri, lai nodrošinātu AIP aprēķinu par laikposmu līdz 2025. gada 31. decembrim, pārvaldītājs ievēro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punktā minēto AI sākotnējo vērtību un veic AI vēsturiskos aprēķinus, izmantojot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minētās vēsturiskās KAP</w:t>
      </w:r>
      <w:r w:rsidR="00000000" w:rsidRPr="00000000" w:rsidDel="00000000">
        <w:rPr>
          <w:vertAlign w:val="subscript"/>
          <w:rtl w:val="0"/>
        </w:rPr>
        <w:t xml:space="preserve">t</w:t>
      </w:r>
      <w:r w:rsidR="00000000" w:rsidRPr="00000000" w:rsidDel="00000000">
        <w:rPr>
          <w:rtl w:val="0"/>
        </w:rPr>
        <w:t xml:space="preserve"> vērtības un šādu formulu: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5429250" cy="6477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5429250" cy="647700"/>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w:t>
      </w:r>
      <w:r w:rsidR="00000000" w:rsidRPr="00000000" w:rsidDel="00000000">
        <w:rPr>
          <w:vertAlign w:val="subscript"/>
          <w:rtl w:val="0"/>
        </w:rPr>
        <w:t xml:space="preserve">t</w:t>
      </w:r>
      <w:r w:rsidR="00000000" w:rsidRPr="00000000" w:rsidDel="00000000">
        <w:rPr>
          <w:rtl w:val="0"/>
        </w:rPr>
        <w:t xml:space="preserve"> – aprēķina dienas 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t</w:t>
      </w:r>
      <w:r w:rsidR="00000000" w:rsidRPr="00000000" w:rsidDel="00000000">
        <w:rPr>
          <w:i w:val="1"/>
          <w:rtl w:val="0"/>
        </w:rPr>
        <w:t xml:space="preserve"> </w:t>
      </w:r>
      <w:r w:rsidR="00000000" w:rsidRPr="00000000" w:rsidDel="00000000">
        <w:rPr>
          <w:rtl w:val="0"/>
        </w:rPr>
        <w:t xml:space="preserve">– aprēķina dienas obligāciju indeksa </w:t>
      </w:r>
      <w:r w:rsidR="00000000" w:rsidRPr="00000000" w:rsidDel="00000000">
        <w:rPr>
          <w:i w:val="1"/>
          <w:rtl w:val="0"/>
        </w:rPr>
        <w:t xml:space="preserve">Bloomberg Barclays Euro Aggregate Total Return Euro Unhedged </w:t>
      </w:r>
      <w:r w:rsidR="00000000" w:rsidRPr="00000000" w:rsidDel="00000000">
        <w:rPr>
          <w:rtl w:val="0"/>
        </w:rPr>
        <w:t xml:space="preserve">(</w:t>
      </w:r>
      <w:r w:rsidR="00000000" w:rsidRPr="00000000" w:rsidDel="00000000">
        <w:rPr>
          <w:i w:val="1"/>
          <w:rtl w:val="0"/>
        </w:rPr>
        <w:t xml:space="preserve">LBEATREU Index, FIGI BBG002SG6D04</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t</w:t>
      </w:r>
      <w:r w:rsidR="00000000" w:rsidRPr="00000000" w:rsidDel="00000000">
        <w:rPr>
          <w:i w:val="1"/>
          <w:vertAlign w:val="subscript"/>
          <w:rtl w:val="0"/>
        </w:rPr>
        <w:t xml:space="preserve">–1</w:t>
      </w:r>
      <w:r w:rsidR="00000000" w:rsidRPr="00000000" w:rsidDel="00000000">
        <w:rPr>
          <w:rtl w:val="0"/>
        </w:rPr>
        <w:t xml:space="preserve"> – iepriekšējās aprēķina dienas obligāciju indeksa </w:t>
      </w:r>
      <w:r w:rsidR="00000000" w:rsidRPr="00000000" w:rsidDel="00000000">
        <w:rPr>
          <w:i w:val="1"/>
          <w:rtl w:val="0"/>
        </w:rPr>
        <w:t xml:space="preserve">Bloomberg Barclays Euro Aggregate Total Return Euro Unhedged</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SXXR</w:t>
      </w:r>
      <w:r w:rsidR="00000000" w:rsidRPr="00000000" w:rsidDel="00000000">
        <w:rPr>
          <w:i w:val="1"/>
          <w:vertAlign w:val="subscript"/>
          <w:rtl w:val="0"/>
        </w:rPr>
        <w:t xml:space="preserve">t</w:t>
      </w:r>
      <w:r w:rsidR="00000000" w:rsidRPr="00000000" w:rsidDel="00000000">
        <w:rPr>
          <w:rtl w:val="0"/>
        </w:rPr>
        <w:t xml:space="preserve"> – aprēķina dienas akciju indeksa </w:t>
      </w:r>
      <w:r w:rsidR="00000000" w:rsidRPr="00000000" w:rsidDel="00000000">
        <w:rPr>
          <w:i w:val="1"/>
          <w:rtl w:val="0"/>
        </w:rPr>
        <w:t xml:space="preserve">STOXX Europe 600 Net Return </w:t>
      </w:r>
      <w:r w:rsidR="00000000" w:rsidRPr="00000000" w:rsidDel="00000000">
        <w:rPr>
          <w:rtl w:val="0"/>
        </w:rPr>
        <w:t xml:space="preserve">(</w:t>
      </w:r>
      <w:r w:rsidR="00000000" w:rsidRPr="00000000" w:rsidDel="00000000">
        <w:rPr>
          <w:i w:val="1"/>
          <w:rtl w:val="0"/>
        </w:rPr>
        <w:t xml:space="preserve">SXXR Index, FIGI BBG000P5N0N9, ISIN EU0009658210</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SXXR</w:t>
      </w:r>
      <w:r w:rsidR="00000000" w:rsidRPr="00000000" w:rsidDel="00000000">
        <w:rPr>
          <w:i w:val="1"/>
          <w:vertAlign w:val="subscript"/>
          <w:rtl w:val="0"/>
        </w:rPr>
        <w:t xml:space="preserve">t</w:t>
      </w:r>
      <w:r w:rsidR="00000000" w:rsidRPr="00000000" w:rsidDel="00000000">
        <w:rPr>
          <w:i w:val="1"/>
          <w:vertAlign w:val="subscript"/>
          <w:rtl w:val="0"/>
        </w:rPr>
        <w:t xml:space="preserve">–1</w:t>
      </w:r>
      <w:r w:rsidR="00000000" w:rsidRPr="00000000" w:rsidDel="00000000">
        <w:rPr>
          <w:rtl w:val="0"/>
        </w:rPr>
        <w:t xml:space="preserve"> – iepriekšējās aprēķina dienas akciju indeksa </w:t>
      </w:r>
      <w:r w:rsidR="00000000" w:rsidRPr="00000000" w:rsidDel="00000000">
        <w:rPr>
          <w:i w:val="1"/>
          <w:rtl w:val="0"/>
        </w:rPr>
        <w:t xml:space="preserve">STOXX Europe 600 Net Return</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w:t>
      </w:r>
      <w:r w:rsidR="00000000" w:rsidRPr="00000000" w:rsidDel="00000000">
        <w:rPr>
          <w:vertAlign w:val="subscript"/>
          <w:rtl w:val="0"/>
        </w:rPr>
        <w:t xml:space="preserve">t</w:t>
      </w:r>
      <w:r w:rsidR="00000000" w:rsidRPr="00000000" w:rsidDel="00000000">
        <w:rPr>
          <w:rtl w:val="0"/>
        </w:rPr>
        <w:t xml:space="preserve"> – aprēķina dienas koeficients.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No 2026. gada 1. janvāra AI aprēķina, izmantojot šādu formulu: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6115050" cy="638175"/>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6115050" cy="638175"/>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w:t>
      </w:r>
      <w:r w:rsidR="00000000" w:rsidRPr="00000000" w:rsidDel="00000000">
        <w:rPr>
          <w:vertAlign w:val="subscript"/>
          <w:rtl w:val="0"/>
        </w:rPr>
        <w:t xml:space="preserve">t</w:t>
      </w:r>
      <w:r w:rsidR="00000000" w:rsidRPr="00000000" w:rsidDel="00000000">
        <w:rPr>
          <w:rtl w:val="0"/>
        </w:rPr>
        <w:t xml:space="preserve"> – aprēķina dienas 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t</w:t>
      </w:r>
      <w:r w:rsidR="00000000" w:rsidRPr="00000000" w:rsidDel="00000000">
        <w:rPr>
          <w:rtl w:val="0"/>
        </w:rPr>
        <w:t xml:space="preserve"> – aprēķina dienas obligāciju indeksa</w:t>
      </w:r>
      <w:r w:rsidR="00000000" w:rsidRPr="00000000" w:rsidDel="00000000">
        <w:rPr>
          <w:i w:val="1"/>
          <w:rtl w:val="0"/>
        </w:rPr>
        <w:t xml:space="preserve"> Bloomberg Barclays Euro Aggregate Total Return Euro Unhedged </w:t>
      </w:r>
      <w:r w:rsidR="00000000" w:rsidRPr="00000000" w:rsidDel="00000000">
        <w:rPr>
          <w:rtl w:val="0"/>
        </w:rPr>
        <w:t xml:space="preserve">(</w:t>
      </w:r>
      <w:r w:rsidR="00000000" w:rsidRPr="00000000" w:rsidDel="00000000">
        <w:rPr>
          <w:i w:val="1"/>
          <w:rtl w:val="0"/>
        </w:rPr>
        <w:t xml:space="preserve">LBEATREU Index, FIGI BBG002SG6D04</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t</w:t>
      </w:r>
      <w:r w:rsidR="00000000" w:rsidRPr="00000000" w:rsidDel="00000000">
        <w:rPr>
          <w:i w:val="1"/>
          <w:vertAlign w:val="subscript"/>
          <w:rtl w:val="0"/>
        </w:rPr>
        <w:t xml:space="preserve">–1</w:t>
      </w:r>
      <w:r w:rsidR="00000000" w:rsidRPr="00000000" w:rsidDel="00000000">
        <w:rPr>
          <w:rtl w:val="0"/>
        </w:rPr>
        <w:t xml:space="preserve"> – iepriekšējās aprēķina dienas obligāciju indeksa </w:t>
      </w:r>
      <w:r w:rsidR="00000000" w:rsidRPr="00000000" w:rsidDel="00000000">
        <w:rPr>
          <w:i w:val="1"/>
          <w:rtl w:val="0"/>
        </w:rPr>
        <w:t xml:space="preserve">Bloomberg Barclays Euro Aggregate Total Return Euro Unhedged</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NDEEWNR</w:t>
      </w:r>
      <w:r w:rsidR="00000000" w:rsidRPr="00000000" w:rsidDel="00000000">
        <w:rPr>
          <w:i w:val="1"/>
          <w:vertAlign w:val="subscript"/>
          <w:rtl w:val="0"/>
        </w:rPr>
        <w:t xml:space="preserve">t</w:t>
      </w:r>
      <w:r w:rsidR="00000000" w:rsidRPr="00000000" w:rsidDel="00000000">
        <w:rPr>
          <w:rtl w:val="0"/>
        </w:rPr>
        <w:t xml:space="preserve"> – aprēķina dienas akciju indeksa </w:t>
      </w:r>
      <w:r w:rsidR="00000000" w:rsidRPr="00000000" w:rsidDel="00000000">
        <w:rPr>
          <w:i w:val="1"/>
          <w:rtl w:val="0"/>
        </w:rPr>
        <w:t xml:space="preserve">MSCI ACWI Net Return EUR </w:t>
      </w:r>
      <w:r w:rsidR="00000000" w:rsidRPr="00000000" w:rsidDel="00000000">
        <w:rPr>
          <w:rtl w:val="0"/>
        </w:rPr>
        <w:t xml:space="preserve">(</w:t>
      </w:r>
      <w:r w:rsidR="00000000" w:rsidRPr="00000000" w:rsidDel="00000000">
        <w:rPr>
          <w:i w:val="1"/>
          <w:rtl w:val="0"/>
        </w:rPr>
        <w:t xml:space="preserve">NDEEWNR Index, FIGI BBG002T2YBW2</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NDEEWNR</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iepriekšējās aprēķina dienas akciju indeksa </w:t>
      </w:r>
      <w:r w:rsidR="00000000" w:rsidRPr="00000000" w:rsidDel="00000000">
        <w:rPr>
          <w:i w:val="1"/>
          <w:rtl w:val="0"/>
        </w:rPr>
        <w:t xml:space="preserve">MSCI ACWI Net Return EUR</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M7EU</w:t>
      </w:r>
      <w:r w:rsidR="00000000" w:rsidRPr="00000000" w:rsidDel="00000000">
        <w:rPr>
          <w:i w:val="1"/>
          <w:vertAlign w:val="subscript"/>
          <w:rtl w:val="0"/>
        </w:rPr>
        <w:t xml:space="preserve">t</w:t>
      </w:r>
      <w:r w:rsidR="00000000" w:rsidRPr="00000000" w:rsidDel="00000000">
        <w:rPr>
          <w:rtl w:val="0"/>
        </w:rPr>
        <w:t xml:space="preserve"> – aprēķina dienas akciju indeksa </w:t>
      </w:r>
      <w:r w:rsidR="00000000" w:rsidRPr="00000000" w:rsidDel="00000000">
        <w:rPr>
          <w:i w:val="1"/>
          <w:rtl w:val="0"/>
        </w:rPr>
        <w:t xml:space="preserve">MSCI Europe EUR Net Total Return </w:t>
      </w:r>
      <w:r w:rsidR="00000000" w:rsidRPr="00000000" w:rsidDel="00000000">
        <w:rPr>
          <w:rtl w:val="0"/>
        </w:rPr>
        <w:t xml:space="preserve">(</w:t>
      </w:r>
      <w:r w:rsidR="00000000" w:rsidRPr="00000000" w:rsidDel="00000000">
        <w:rPr>
          <w:i w:val="1"/>
          <w:rtl w:val="0"/>
        </w:rPr>
        <w:t xml:space="preserve">M7EU Index; FIGI BBG0010GYVC2</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M7EU</w:t>
      </w:r>
      <w:r w:rsidR="00000000" w:rsidRPr="00000000" w:rsidDel="00000000">
        <w:rPr>
          <w:i w:val="1"/>
          <w:vertAlign w:val="subscript"/>
          <w:rtl w:val="0"/>
        </w:rPr>
        <w:t xml:space="preserve">t–1</w:t>
      </w:r>
      <w:r w:rsidR="00000000" w:rsidRPr="00000000" w:rsidDel="00000000">
        <w:rPr>
          <w:rtl w:val="0"/>
        </w:rPr>
        <w:t xml:space="preserve"> – iepriekšējās aprēķina dienas akciju indeksa </w:t>
      </w:r>
      <w:r w:rsidR="00000000" w:rsidRPr="00000000" w:rsidDel="00000000">
        <w:rPr>
          <w:i w:val="1"/>
          <w:rtl w:val="0"/>
        </w:rPr>
        <w:t xml:space="preserve">MSCI Europe EUR Net Total Return</w:t>
      </w:r>
      <w:r w:rsidR="00000000" w:rsidRPr="00000000" w:rsidDel="00000000">
        <w:rPr>
          <w:rtl w:val="0"/>
        </w:rPr>
        <w:t xml:space="preserve">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w:t>
      </w:r>
      <w:r w:rsidR="00000000" w:rsidRPr="00000000" w:rsidDel="00000000">
        <w:rPr>
          <w:vertAlign w:val="subscript"/>
          <w:rtl w:val="0"/>
        </w:rPr>
        <w:t xml:space="preserve">t</w:t>
      </w:r>
      <w:r w:rsidR="00000000" w:rsidRPr="00000000" w:rsidDel="00000000">
        <w:rPr>
          <w:rtl w:val="0"/>
        </w:rPr>
        <w:t xml:space="preserve"> – aprēķina dienas koeficients, kas aprēķināts, no MKVI</w:t>
      </w:r>
      <w:r w:rsidR="00000000" w:rsidRPr="00000000" w:rsidDel="00000000">
        <w:rPr>
          <w:vertAlign w:val="subscript"/>
          <w:rtl w:val="0"/>
        </w:rPr>
        <w:t xml:space="preserve">t</w:t>
      </w:r>
      <w:r w:rsidR="00000000" w:rsidRPr="00000000" w:rsidDel="00000000">
        <w:rPr>
          <w:rtl w:val="0"/>
        </w:rPr>
        <w:t xml:space="preserve"> atņemot 10 procentpunktus (KAP</w:t>
      </w:r>
      <w:r w:rsidR="00000000" w:rsidRPr="00000000" w:rsidDel="00000000">
        <w:rPr>
          <w:vertAlign w:val="subscript"/>
          <w:rtl w:val="0"/>
        </w:rPr>
        <w:t xml:space="preserve">t</w:t>
      </w:r>
      <w:r w:rsidR="00000000" w:rsidRPr="00000000" w:rsidDel="00000000">
        <w:rPr>
          <w:rtl w:val="0"/>
        </w:rPr>
        <w:t xml:space="preserve"> = MKVI</w:t>
      </w:r>
      <w:r w:rsidR="00000000" w:rsidRPr="00000000" w:rsidDel="00000000">
        <w:rPr>
          <w:vertAlign w:val="subscript"/>
          <w:rtl w:val="0"/>
        </w:rPr>
        <w:t xml:space="preserve">t</w:t>
      </w:r>
      <w:r w:rsidR="00000000" w:rsidRPr="00000000" w:rsidDel="00000000">
        <w:rPr>
          <w:rtl w:val="0"/>
        </w:rPr>
        <w:t xml:space="preserve"> – 10 %). KAP</w:t>
      </w:r>
      <w:r w:rsidR="00000000" w:rsidRPr="00000000" w:rsidDel="00000000">
        <w:rPr>
          <w:vertAlign w:val="subscript"/>
          <w:rtl w:val="0"/>
        </w:rPr>
        <w:t xml:space="preserve">t</w:t>
      </w:r>
      <w:r w:rsidR="00000000" w:rsidRPr="00000000" w:rsidDel="00000000">
        <w:rPr>
          <w:rtl w:val="0"/>
        </w:rPr>
        <w:t xml:space="preserve"> ir 0, ja ieguldījumu plāna MKVI</w:t>
      </w:r>
      <w:r w:rsidR="00000000" w:rsidRPr="00000000" w:rsidDel="00000000">
        <w:rPr>
          <w:vertAlign w:val="subscript"/>
          <w:rtl w:val="0"/>
        </w:rPr>
        <w:t xml:space="preserve">t</w:t>
      </w:r>
      <w:r w:rsidR="00000000" w:rsidRPr="00000000" w:rsidDel="00000000">
        <w:rPr>
          <w:rtl w:val="0"/>
        </w:rPr>
        <w:t xml:space="preserve"> ir vienāds vai mazāks par 10 %;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MKVI</w:t>
      </w:r>
      <w:r w:rsidR="00000000" w:rsidRPr="00000000" w:rsidDel="00000000">
        <w:rPr>
          <w:vertAlign w:val="subscript"/>
          <w:rtl w:val="0"/>
        </w:rPr>
        <w:t xml:space="preserve">t</w:t>
      </w:r>
      <w:r w:rsidR="00000000" w:rsidRPr="00000000" w:rsidDel="00000000">
        <w:rPr>
          <w:rtl w:val="0"/>
        </w:rPr>
        <w:t xml:space="preserve"> – aprēķina dienas MKVI.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No 2026. gada 1. janvāra AIP aprēķina, izmantojot šādu formulu: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943100" cy="590550"/>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1943100" cy="590550"/>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AIP</w:t>
      </w:r>
      <w:r w:rsidR="00000000" w:rsidRPr="00000000" w:rsidDel="00000000">
        <w:rPr>
          <w:vertAlign w:val="subscript"/>
          <w:rtl w:val="0"/>
        </w:rPr>
        <w:t xml:space="preserve">t</w:t>
      </w:r>
      <w:r w:rsidR="00000000" w:rsidRPr="00000000" w:rsidDel="00000000">
        <w:rPr>
          <w:rtl w:val="0"/>
        </w:rPr>
        <w:t xml:space="preserve"> – perioda AIP aprēķina dienā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w:t>
      </w:r>
      <w:r w:rsidR="00000000" w:rsidRPr="00000000" w:rsidDel="00000000">
        <w:rPr>
          <w:vertAlign w:val="subscript"/>
          <w:rtl w:val="0"/>
        </w:rPr>
        <w:t xml:space="preserve">t</w:t>
      </w:r>
      <w:r w:rsidR="00000000" w:rsidRPr="00000000" w:rsidDel="00000000">
        <w:rPr>
          <w:rtl w:val="0"/>
        </w:rPr>
        <w:t xml:space="preserve"> – aprēķina dienas 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w:t>
      </w:r>
      <w:r w:rsidR="00000000" w:rsidRPr="00000000" w:rsidDel="00000000">
        <w:rPr>
          <w:vertAlign w:val="subscript"/>
          <w:rtl w:val="0"/>
        </w:rPr>
        <w:t xml:space="preserve">0</w:t>
      </w:r>
      <w:r w:rsidR="00000000" w:rsidRPr="00000000" w:rsidDel="00000000">
        <w:rPr>
          <w:rtl w:val="0"/>
        </w:rPr>
        <w:t xml:space="preserve"> – perioda sākuma dienas AI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aprēķina dienā obligāciju vai akciju indekss nav pieejams, izmanto pēdējo zināmo attiecīgā indeksa vērtību pirms šīs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kāds no aprēķinos izmantotajiem indeksiem tiek izbeigts, tad pārvaldītājs attiecīgo indeksu aprēķinos aizstāj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Bloomberg Barclays Euro Aggregate Total Return Euro Unhedged</w:t>
      </w:r>
      <w:r w:rsidR="00000000" w:rsidRPr="00000000" w:rsidDel="00000000">
        <w:rPr>
          <w:rtl w:val="0"/>
        </w:rPr>
        <w:t xml:space="preserve"> aizstāj ar indeksu </w:t>
      </w:r>
      <w:r w:rsidR="00000000" w:rsidRPr="00000000" w:rsidDel="00000000">
        <w:rPr>
          <w:i w:val="1"/>
          <w:rtl w:val="0"/>
        </w:rPr>
        <w:t xml:space="preserve">Euro Broad Investment-Grade Bond Index </w:t>
      </w:r>
      <w:r w:rsidR="00000000" w:rsidRPr="00000000" w:rsidDel="00000000">
        <w:rPr>
          <w:rtl w:val="0"/>
        </w:rPr>
        <w:t xml:space="preserve">(</w:t>
      </w:r>
      <w:r w:rsidR="00000000" w:rsidRPr="00000000" w:rsidDel="00000000">
        <w:rPr>
          <w:i w:val="1"/>
          <w:rtl w:val="0"/>
        </w:rPr>
        <w:t xml:space="preserve">EuroBIG</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w:t>
      </w:r>
      <w:r w:rsidR="00000000" w:rsidRPr="00000000" w:rsidDel="00000000">
        <w:rPr>
          <w:i w:val="1"/>
          <w:rtl w:val="0"/>
        </w:rPr>
        <w:t xml:space="preserve">SBEB Index, FIGI BBG002SBH4Y6</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Euro Broad Investment-Grade Bond Index </w:t>
      </w:r>
      <w:r w:rsidR="00000000" w:rsidRPr="00000000" w:rsidDel="00000000">
        <w:rPr>
          <w:rtl w:val="0"/>
        </w:rPr>
        <w:t xml:space="preserve">(</w:t>
      </w:r>
      <w:r w:rsidR="00000000" w:rsidRPr="00000000" w:rsidDel="00000000">
        <w:rPr>
          <w:i w:val="1"/>
          <w:rtl w:val="0"/>
        </w:rPr>
        <w:t xml:space="preserve">EuroBIG</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aizstāj ar indeksu </w:t>
      </w:r>
      <w:r w:rsidR="00000000" w:rsidRPr="00000000" w:rsidDel="00000000">
        <w:rPr>
          <w:i w:val="1"/>
          <w:rtl w:val="0"/>
        </w:rPr>
        <w:t xml:space="preserve">iBoxx Euro Eurozone Sovereign 5-7 Total Return Index</w:t>
      </w:r>
      <w:r w:rsidR="00000000" w:rsidRPr="00000000" w:rsidDel="00000000">
        <w:rPr>
          <w:rtl w:val="0"/>
        </w:rPr>
        <w:t xml:space="preserve"> (</w:t>
      </w:r>
      <w:r w:rsidR="00000000" w:rsidRPr="00000000" w:rsidDel="00000000">
        <w:rPr>
          <w:i w:val="1"/>
          <w:rtl w:val="0"/>
        </w:rPr>
        <w:t xml:space="preserve">QW1M Index, FIGI BBG000RFTW22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MSCI Europe EUR Net Total Return</w:t>
      </w:r>
      <w:r w:rsidR="00000000" w:rsidRPr="00000000" w:rsidDel="00000000">
        <w:rPr>
          <w:rtl w:val="0"/>
        </w:rPr>
        <w:t xml:space="preserve"> (</w:t>
      </w:r>
      <w:r w:rsidR="00000000" w:rsidRPr="00000000" w:rsidDel="00000000">
        <w:rPr>
          <w:i w:val="1"/>
          <w:rtl w:val="0"/>
        </w:rPr>
        <w:t xml:space="preserve">M7EU Index, FIGI BBG0010GYVC2</w:t>
      </w:r>
      <w:r w:rsidR="00000000" w:rsidRPr="00000000" w:rsidDel="00000000">
        <w:rPr>
          <w:rtl w:val="0"/>
        </w:rPr>
        <w:t xml:space="preserve">) aizstāj ar indeksu </w:t>
      </w:r>
      <w:r w:rsidR="00000000" w:rsidRPr="00000000" w:rsidDel="00000000">
        <w:rPr>
          <w:i w:val="1"/>
          <w:rtl w:val="0"/>
        </w:rPr>
        <w:t xml:space="preserve">STOXX</w:t>
      </w:r>
      <w:r w:rsidR="00000000" w:rsidRPr="00000000" w:rsidDel="00000000">
        <w:rPr>
          <w:i w:val="1"/>
          <w:rtl w:val="0"/>
        </w:rPr>
        <w:t xml:space="preserve"> Europe 600 Net </w:t>
      </w:r>
      <w:r w:rsidR="00000000" w:rsidRPr="00000000" w:rsidDel="00000000">
        <w:rPr>
          <w:i w:val="1"/>
          <w:rtl w:val="0"/>
        </w:rPr>
        <w:t xml:space="preserve">Return</w:t>
      </w:r>
      <w:r w:rsidR="00000000" w:rsidRPr="00000000" w:rsidDel="00000000">
        <w:rPr>
          <w:i w:val="1"/>
          <w:rtl w:val="0"/>
        </w:rPr>
        <w:t xml:space="preserve"> </w:t>
      </w:r>
      <w:r w:rsidR="00000000" w:rsidRPr="00000000" w:rsidDel="00000000">
        <w:rPr>
          <w:rtl w:val="0"/>
        </w:rPr>
        <w:t xml:space="preserve">(</w:t>
      </w:r>
      <w:r w:rsidR="00000000" w:rsidRPr="00000000" w:rsidDel="00000000">
        <w:rPr>
          <w:i w:val="1"/>
          <w:rtl w:val="0"/>
        </w:rPr>
        <w:t xml:space="preserve">SXXR Index, ISIN EU0009658210, FIGI BBG000P5N0N9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STOXX Europe 600 Net Return </w:t>
      </w:r>
      <w:r w:rsidR="00000000" w:rsidRPr="00000000" w:rsidDel="00000000">
        <w:rPr>
          <w:rtl w:val="0"/>
        </w:rPr>
        <w:t xml:space="preserve">(</w:t>
      </w:r>
      <w:r w:rsidR="00000000" w:rsidRPr="00000000" w:rsidDel="00000000">
        <w:rPr>
          <w:i w:val="1"/>
          <w:rtl w:val="0"/>
        </w:rPr>
        <w:t xml:space="preserve">SXXR Index, ISIN EU0009658210, FIGI BBG000P5N0N9</w:t>
      </w:r>
      <w:r w:rsidR="00000000" w:rsidRPr="00000000" w:rsidDel="00000000">
        <w:rPr>
          <w:rtl w:val="0"/>
        </w:rPr>
        <w:t xml:space="preserve">) aizstāj ar indeksu </w:t>
      </w:r>
      <w:r w:rsidR="00000000" w:rsidRPr="00000000" w:rsidDel="00000000">
        <w:rPr>
          <w:i w:val="1"/>
          <w:rtl w:val="0"/>
        </w:rPr>
        <w:t xml:space="preserve">EURO STOXX 50 Net Return EUR </w:t>
      </w:r>
      <w:r w:rsidR="00000000" w:rsidRPr="00000000" w:rsidDel="00000000">
        <w:rPr>
          <w:rtl w:val="0"/>
        </w:rPr>
        <w:t xml:space="preserve">(</w:t>
      </w:r>
      <w:r w:rsidR="00000000" w:rsidRPr="00000000" w:rsidDel="00000000">
        <w:rPr>
          <w:i w:val="1"/>
          <w:rtl w:val="0"/>
        </w:rPr>
        <w:t xml:space="preserve">SX5T Index, FIGI BBG000P5MXR4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indeksu</w:t>
      </w:r>
      <w:r w:rsidR="00000000" w:rsidRPr="00000000" w:rsidDel="00000000">
        <w:rPr>
          <w:i w:val="1"/>
          <w:rtl w:val="0"/>
        </w:rPr>
        <w:t xml:space="preserve"> MSCI ACWI Net Return EUR </w:t>
      </w:r>
      <w:r w:rsidR="00000000" w:rsidRPr="00000000" w:rsidDel="00000000">
        <w:rPr>
          <w:rtl w:val="0"/>
        </w:rPr>
        <w:t xml:space="preserve">(</w:t>
      </w:r>
      <w:r w:rsidR="00000000" w:rsidRPr="00000000" w:rsidDel="00000000">
        <w:rPr>
          <w:i w:val="1"/>
          <w:rtl w:val="0"/>
        </w:rPr>
        <w:t xml:space="preserve">NDEEWNR Index, FIGI BBG002T2YBW2</w:t>
      </w:r>
      <w:r w:rsidR="00000000" w:rsidRPr="00000000" w:rsidDel="00000000">
        <w:rPr>
          <w:rtl w:val="0"/>
        </w:rPr>
        <w:t xml:space="preserve">) aizstāj ar indeksu </w:t>
      </w:r>
      <w:r w:rsidR="00000000" w:rsidRPr="00000000" w:rsidDel="00000000">
        <w:rPr>
          <w:i w:val="1"/>
          <w:rtl w:val="0"/>
        </w:rPr>
        <w:t xml:space="preserve">STOXX World AC </w:t>
      </w:r>
      <w:r w:rsidR="00000000" w:rsidRPr="00000000" w:rsidDel="00000000">
        <w:rPr>
          <w:rtl w:val="0"/>
        </w:rPr>
        <w:t xml:space="preserve">(</w:t>
      </w:r>
      <w:r w:rsidR="00000000" w:rsidRPr="00000000" w:rsidDel="00000000">
        <w:rPr>
          <w:i w:val="1"/>
          <w:rtl w:val="0"/>
        </w:rPr>
        <w:t xml:space="preserve">All Cap Index</w:t>
      </w:r>
      <w:r w:rsidR="00000000" w:rsidRPr="00000000" w:rsidDel="00000000">
        <w:rPr>
          <w:rtl w:val="0"/>
        </w:rPr>
        <w:t xml:space="preserve">)</w:t>
      </w:r>
      <w:r w:rsidR="00000000" w:rsidRPr="00000000" w:rsidDel="00000000">
        <w:rPr>
          <w:i w:val="1"/>
          <w:rtl w:val="0"/>
        </w:rPr>
        <w:t xml:space="preserve"> – Net EUR </w:t>
      </w:r>
      <w:r w:rsidR="00000000" w:rsidRPr="00000000" w:rsidDel="00000000">
        <w:rPr>
          <w:rtl w:val="0"/>
        </w:rPr>
        <w:t xml:space="preserve">(</w:t>
      </w:r>
      <w:r w:rsidR="00000000" w:rsidRPr="00000000" w:rsidDel="00000000">
        <w:rPr>
          <w:i w:val="1"/>
          <w:rtl w:val="0"/>
        </w:rPr>
        <w:t xml:space="preserve">STXWAR Index, FIGI BBG018C66BS3, ISIN CH0462362093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STOXX World AC </w:t>
      </w:r>
      <w:r w:rsidR="00000000" w:rsidRPr="00000000" w:rsidDel="00000000">
        <w:rPr>
          <w:rtl w:val="0"/>
        </w:rPr>
        <w:t xml:space="preserve">(</w:t>
      </w:r>
      <w:r w:rsidR="00000000" w:rsidRPr="00000000" w:rsidDel="00000000">
        <w:rPr>
          <w:i w:val="1"/>
          <w:rtl w:val="0"/>
        </w:rPr>
        <w:t xml:space="preserve">All Cap Index</w:t>
      </w:r>
      <w:r w:rsidR="00000000" w:rsidRPr="00000000" w:rsidDel="00000000">
        <w:rPr>
          <w:rtl w:val="0"/>
        </w:rPr>
        <w:t xml:space="preserve">) –</w:t>
      </w:r>
      <w:r w:rsidR="00000000" w:rsidRPr="00000000" w:rsidDel="00000000">
        <w:rPr>
          <w:i w:val="1"/>
          <w:rtl w:val="0"/>
        </w:rPr>
        <w:t xml:space="preserve"> Net EUR </w:t>
      </w:r>
      <w:r w:rsidR="00000000" w:rsidRPr="00000000" w:rsidDel="00000000">
        <w:rPr>
          <w:rtl w:val="0"/>
        </w:rPr>
        <w:t xml:space="preserve">(</w:t>
      </w:r>
      <w:r w:rsidR="00000000" w:rsidRPr="00000000" w:rsidDel="00000000">
        <w:rPr>
          <w:i w:val="1"/>
          <w:rtl w:val="0"/>
        </w:rPr>
        <w:t xml:space="preserve">STXWAR Index, FIGI BBG018C66BS3, ISIN CH0462362093</w:t>
      </w:r>
      <w:r w:rsidR="00000000" w:rsidRPr="00000000" w:rsidDel="00000000">
        <w:rPr>
          <w:rtl w:val="0"/>
        </w:rPr>
        <w:t xml:space="preserve">) aizstāj ar indeksu </w:t>
      </w:r>
      <w:r w:rsidR="00000000" w:rsidRPr="00000000" w:rsidDel="00000000">
        <w:rPr>
          <w:i w:val="1"/>
          <w:rtl w:val="0"/>
        </w:rPr>
        <w:t xml:space="preserve">STOXX Global TMI </w:t>
      </w:r>
      <w:r w:rsidR="00000000" w:rsidRPr="00000000" w:rsidDel="00000000">
        <w:rPr>
          <w:rtl w:val="0"/>
        </w:rPr>
        <w:t xml:space="preserve">(</w:t>
      </w:r>
      <w:r w:rsidR="00000000" w:rsidRPr="00000000" w:rsidDel="00000000">
        <w:rPr>
          <w:i w:val="1"/>
          <w:rtl w:val="0"/>
        </w:rPr>
        <w:t xml:space="preserve">Total Market Index</w:t>
      </w:r>
      <w:r w:rsidR="00000000" w:rsidRPr="00000000" w:rsidDel="00000000">
        <w:rPr>
          <w:rtl w:val="0"/>
        </w:rPr>
        <w:t xml:space="preserve">)</w:t>
      </w:r>
      <w:r w:rsidR="00000000" w:rsidRPr="00000000" w:rsidDel="00000000">
        <w:rPr>
          <w:i w:val="1"/>
          <w:rtl w:val="0"/>
        </w:rPr>
        <w:t xml:space="preserve"> – Net EUR </w:t>
      </w:r>
      <w:r w:rsidR="00000000" w:rsidRPr="00000000" w:rsidDel="00000000">
        <w:rPr>
          <w:rtl w:val="0"/>
        </w:rPr>
        <w:t xml:space="preserve">(</w:t>
      </w:r>
      <w:r w:rsidR="00000000" w:rsidRPr="00000000" w:rsidDel="00000000">
        <w:rPr>
          <w:i w:val="1"/>
          <w:rtl w:val="0"/>
        </w:rPr>
        <w:t xml:space="preserve">TW1R Index, FIGI BBG001J5KTN4, ISIN CH0114207837</w:t>
      </w:r>
      <w:r w:rsidR="00000000" w:rsidRPr="00000000" w:rsidDel="00000000">
        <w:rPr>
          <w:rtl w:val="0"/>
        </w:rPr>
        <w:t xml:space="preserve">).</w:t>
      </w:r>
    </w:p>
    <w:p w:rsidP="00000000" w:rsidRDefault="00000000" w:rsidR="00000000" w:rsidRPr="00000000" w:rsidDel="00000000">
      <w:pPr>
        <w:numPr>
          <w:ilvl w:val="0"/>
          <w:numId w:val="1"/>
        </w:numPr>
        <w:ind w:left="0" w:hanging="-706"/>
        <w:jc w:val="center"/>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Virspeļņu – starpību starp DVNP un AIP –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43050" cy="257175"/>
            <wp:effectExtent t="0" b="0" r="0" l="0"/>
            <wp:docPr id="14" name="media/image14.JPG"/>
            <a:graphic>
              <a:graphicData uri="http://schemas.openxmlformats.org/drawingml/2006/picture">
                <pic:pic>
                  <pic:nvPicPr>
                    <pic:cNvPr id="14" name="media/image14.JPG"/>
                    <pic:cNvPicPr/>
                  </pic:nvPicPr>
                  <pic:blipFill>
                    <a:blip r:embed="rId14"/>
                    <a:srcRect/>
                    <a:stretch>
                      <a:fillRect/>
                    </a:stretch>
                  </pic:blipFill>
                  <pic:spPr>
                    <a:xfrm>
                      <a:ext cx="1543050" cy="257175"/>
                    </a:xfrm>
                    <a:prstGeom prst="rect"/>
                    <a:ln/>
                  </pic:spPr>
                </pic:pic>
              </a:graphicData>
            </a:graphic>
          </wp:inline>
        </w:drawing>
      </w:r>
      <w:r w:rsidR="00000000" w:rsidRPr="00000000" w:rsidDel="00000000">
        <w:rPr>
          <w:rtl w:val="0"/>
        </w:rPr>
        <w:t xml:space="preserve">VP</w:t>
      </w:r>
      <w:r w:rsidR="00000000" w:rsidRPr="00000000" w:rsidDel="00000000">
        <w:rPr>
          <w:vertAlign w:val="subscript"/>
          <w:rtl w:val="0"/>
        </w:rPr>
        <w:t xml:space="preserve">t</w:t>
      </w:r>
      <w:r w:rsidR="00000000" w:rsidRPr="00000000" w:rsidDel="00000000">
        <w:rPr>
          <w:rtl w:val="0"/>
        </w:rPr>
        <w:t xml:space="preserve"> – perioda virspeļņa aprēķina dienā;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DVNP</w:t>
      </w:r>
      <w:r w:rsidR="00000000" w:rsidRPr="00000000" w:rsidDel="00000000">
        <w:rPr>
          <w:vertAlign w:val="subscript"/>
          <w:rtl w:val="0"/>
        </w:rPr>
        <w:t xml:space="preserve">t</w:t>
      </w:r>
      <w:r w:rsidR="00000000" w:rsidRPr="00000000" w:rsidDel="00000000">
        <w:rPr>
          <w:rtl w:val="0"/>
        </w:rPr>
        <w:t xml:space="preserve"> – perioda DVNP aprēķina dienā;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AIP</w:t>
      </w:r>
      <w:r w:rsidR="00000000" w:rsidRPr="00000000" w:rsidDel="00000000">
        <w:rPr>
          <w:vertAlign w:val="subscript"/>
          <w:rtl w:val="0"/>
        </w:rPr>
        <w:t xml:space="preserve">t</w:t>
      </w:r>
      <w:r w:rsidR="00000000" w:rsidRPr="00000000" w:rsidDel="00000000">
        <w:rPr>
          <w:rtl w:val="0"/>
        </w:rPr>
        <w:t xml:space="preserve"> – perioda AIP aprēķina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minēto aprēķinu rezultātu pārvaldītājs noapaļo ar precizitāti līdz septiņām zīmēm aiz komata.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Maksājuma pastāvīgās daļas aprēķins, uzskaite un ieturēšana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fondēto pensiju likumā noteikto maksājuma pastāvīgo daļu ieguldījumu plāna finanšu pārskatos pārvaldītājs uzskaita par katru kalendāra dienu un aprēķina,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838324" cy="371475"/>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1838324" cy="371475"/>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t</w:t>
      </w:r>
      <w:r w:rsidR="00000000" w:rsidRPr="00000000" w:rsidDel="00000000">
        <w:rPr>
          <w:rtl w:val="0"/>
        </w:rPr>
        <w:t xml:space="preserve"> – maksājuma pastāvīgās daļas apmērs aprēķina dienā;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 – maksājuma pastāvīgā daļa procentos, kura noteikta saskaņā ar Valsts fondēto pensiju likuma 11. panta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kalendāra dienu skaits pārskata gadā;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kalendāra dienu skaits no iepriekšējās aprēķina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Maksājuma pastāvīgo daļu uzkrāj mēneša laikā, iegūstot kopējo maksājuma pastāvīgās daļas apmēru par kārtējo mēnesi, un aprēķina, summējot par katru aprēķina dienu aprēķināto dienas maksājuma pastāvīgo daļu no kārtējā mēneša sākuma,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476375" cy="542925"/>
            <wp:effectExtent t="0" b="0" r="0" l="0"/>
            <wp:docPr id="16" name="media/image16.JPG"/>
            <a:graphic>
              <a:graphicData uri="http://schemas.openxmlformats.org/drawingml/2006/picture">
                <pic:pic>
                  <pic:nvPicPr>
                    <pic:cNvPr id="16" name="media/image16.JPG"/>
                    <pic:cNvPicPr/>
                  </pic:nvPicPr>
                  <pic:blipFill>
                    <a:blip r:embed="rId16"/>
                    <a:srcRect/>
                    <a:stretch>
                      <a:fillRect/>
                    </a:stretch>
                  </pic:blipFill>
                  <pic:spPr>
                    <a:xfrm>
                      <a:ext cx="1476375" cy="542925"/>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K</w:t>
      </w:r>
      <w:r w:rsidR="00000000" w:rsidRPr="00000000" w:rsidDel="00000000">
        <w:rPr>
          <w:rtl w:val="0"/>
        </w:rPr>
        <w:t xml:space="preserve"> – maksājuma pastāvīgās daļas apmērs par kārtējo mēnesi;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t</w:t>
      </w:r>
      <w:r w:rsidR="00000000" w:rsidRPr="00000000" w:rsidDel="00000000">
        <w:rPr>
          <w:rtl w:val="0"/>
        </w:rPr>
        <w:t xml:space="preserve"> – maksājuma pastāvīgās daļas apmērs par katru aprēķina dienu;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mēnesī.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Maksājuma pastāvīgo daļu par kārtējo mēnesi pārvaldītājs ietur reizi mēnesī.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Maksājuma mainīgās daļas aprēķins, uzskaite un ieturēšana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Maksājuma mainīgās daļas aprēķins ietver no gada sākuma līdz aprēķina dienai (ieskaitot) starprezultātam uzkrāto maksājuma mainīgās daļas maksimālo apmēru, starprezultātam aprēķināto maksājuma mainīgo daļu un ieguldījumu plāna finanšu pārskatos uzskaitīto maksājuma mainīgo 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Pārvaldītājs starprezultātam uzkrāto maksājuma mainīgās daļas (MMD) maksimālo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izteiksmē par katru kalendāra dienu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524125" cy="333375"/>
            <wp:effectExtent t="0" b="0" r="0" l="0"/>
            <wp:docPr id="17" name="media/image17.PNG"/>
            <a:graphic>
              <a:graphicData uri="http://schemas.openxmlformats.org/drawingml/2006/picture">
                <pic:pic>
                  <pic:nvPicPr>
                    <pic:cNvPr id="17" name="media/image17.PNG"/>
                    <pic:cNvPicPr/>
                  </pic:nvPicPr>
                  <pic:blipFill>
                    <a:blip r:embed="rId17"/>
                    <a:srcRect/>
                    <a:stretch>
                      <a:fillRect/>
                    </a:stretch>
                  </pic:blipFill>
                  <pic:spPr>
                    <a:xfrm>
                      <a:ext cx="2524125" cy="3333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t</w:t>
      </w:r>
      <w:r w:rsidR="00000000" w:rsidRPr="00000000" w:rsidDel="00000000">
        <w:rPr>
          <w:rtl w:val="0"/>
        </w:rPr>
        <w:t xml:space="preserve"> – maksājuma mainīgās daļas maksimālais apmērs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MK – maksimālais gada maksājums procentos, kurš noteikts saskaņā ar Valsts fondēto pensiju likuma 11. panta 5.</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 – maksājuma pastāvīgā daļa procentos, kura noteikta saskaņā ar Valsts fondēto pensiju likuma 11. panta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kalendāra dienu skaits pārskata gadā;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kalendāra dienu skaits no iepriekšējās aprēķina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gada laikā, iegūstot kopējo MMD par kārtējo gadu, ko aprēķina, summējot par katru aprēķina dienu aprēķināto MMD no kārtējā gada sākuma,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304925" cy="466724"/>
            <wp:effectExtent t="0" b="0" r="0" l="0"/>
            <wp:docPr id="18" name="media/image18.JPG"/>
            <a:graphic>
              <a:graphicData uri="http://schemas.openxmlformats.org/drawingml/2006/picture">
                <pic:pic>
                  <pic:nvPicPr>
                    <pic:cNvPr id="18" name="media/image18.JPG"/>
                    <pic:cNvPicPr/>
                  </pic:nvPicPr>
                  <pic:blipFill>
                    <a:blip r:embed="rId18"/>
                    <a:srcRect/>
                    <a:stretch>
                      <a:fillRect/>
                    </a:stretch>
                  </pic:blipFill>
                  <pic:spPr>
                    <a:xfrm>
                      <a:ext cx="1304925" cy="466724"/>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K</w:t>
      </w:r>
      <w:r w:rsidR="00000000" w:rsidRPr="00000000" w:rsidDel="00000000">
        <w:rPr>
          <w:rtl w:val="0"/>
        </w:rPr>
        <w:t xml:space="preserve"> – maksājuma mainīgās daļas maksimālais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t</w:t>
      </w:r>
      <w:r w:rsidR="00000000" w:rsidRPr="00000000" w:rsidDel="00000000">
        <w:rPr>
          <w:rtl w:val="0"/>
        </w:rPr>
        <w:t xml:space="preserve"> – maksājuma mainīgās daļas maksimālais apmērs par katru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katru gadu uzkrāj no jauna. Kārtējā gada pirmajā aprēķina dienā pirms MMD aprēķināšanas MMD ir 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Pārvaldītājs starprezultātam aprēķināto maksājuma mainīgo daļu (AMMD):</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aprēķina par katru aprēķina dienu;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aprēķina dienu, ja šajā dienā virspeļņa par pēdējo astoņu gadu periodu ir lielāka par nulli,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drawing>
          <wp:inline distR="101600" distT="101600" distB="101600" distL="101600">
            <wp:extent cx="3724275" cy="209550"/>
            <wp:effectExtent t="0" b="0" r="0" l="0"/>
            <wp:docPr id="19" name="media/image19.PNG"/>
            <a:graphic>
              <a:graphicData uri="http://schemas.openxmlformats.org/drawingml/2006/picture">
                <pic:pic>
                  <pic:nvPicPr>
                    <pic:cNvPr id="19" name="media/image19.PNG"/>
                    <pic:cNvPicPr/>
                  </pic:nvPicPr>
                  <pic:blipFill>
                    <a:blip r:embed="rId19"/>
                    <a:srcRect/>
                    <a:stretch>
                      <a:fillRect/>
                    </a:stretch>
                  </pic:blipFill>
                  <pic:spPr>
                    <a:xfrm>
                      <a:ext cx="3724275" cy="209550"/>
                    </a:xfrm>
                    <a:prstGeom prst="rect"/>
                    <a:ln/>
                  </pic:spPr>
                </pic:pic>
              </a:graphicData>
            </a:graphic>
          </wp:inline>
        </w:drawing>
      </w:r>
      <w:r w:rsidR="00000000" w:rsidRPr="00000000" w:rsidDel="00000000">
        <w:rPr>
          <w:rtl w:val="0"/>
        </w:rPr>
        <w:t xml:space="preserve">, kur</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VP1d</w:t>
      </w:r>
      <w:r w:rsidR="00000000" w:rsidRPr="00000000" w:rsidDel="00000000">
        <w:rPr>
          <w:vertAlign w:val="subscript"/>
          <w:rtl w:val="0"/>
        </w:rPr>
        <w:t xml:space="preserve">t</w:t>
      </w:r>
      <w:r w:rsidR="00000000" w:rsidRPr="00000000" w:rsidDel="00000000">
        <w:rPr>
          <w:rtl w:val="0"/>
        </w:rPr>
        <w:t xml:space="preserve"> – aprēķina dienas virspeļņa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VP8g</w:t>
      </w:r>
      <w:r w:rsidR="00000000" w:rsidRPr="00000000" w:rsidDel="00000000">
        <w:rPr>
          <w:vertAlign w:val="subscript"/>
          <w:rtl w:val="0"/>
        </w:rPr>
        <w:t xml:space="preserve">t</w:t>
      </w:r>
      <w:r w:rsidR="00000000" w:rsidRPr="00000000" w:rsidDel="00000000">
        <w:rPr>
          <w:rtl w:val="0"/>
        </w:rPr>
        <w:t xml:space="preserve"> – astoņu gadu virspeļņa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gada laikā, iegūstot kopējo AMMD apmēru par kārtējo gadu, ko aprēķina, summējot par katru aprēķina dienu aprēķināto AMMD apmēru no kārtējā gada sākuma,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71625" cy="514350"/>
            <wp:effectExtent t="0" b="0" r="0" l="0"/>
            <wp:docPr id="20" name="media/image20.JPG"/>
            <a:graphic>
              <a:graphicData uri="http://schemas.openxmlformats.org/drawingml/2006/picture">
                <pic:pic>
                  <pic:nvPicPr>
                    <pic:cNvPr id="20" name="media/image20.JPG"/>
                    <pic:cNvPicPr/>
                  </pic:nvPicPr>
                  <pic:blipFill>
                    <a:blip r:embed="rId20"/>
                    <a:srcRect/>
                    <a:stretch>
                      <a:fillRect/>
                    </a:stretch>
                  </pic:blipFill>
                  <pic:spPr>
                    <a:xfrm>
                      <a:ext cx="1571625" cy="51435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w:t>
      </w:r>
      <w:r w:rsidR="00000000" w:rsidRPr="00000000" w:rsidDel="00000000">
        <w:rPr>
          <w:rtl w:val="0"/>
        </w:rPr>
        <w:t xml:space="preserve"> – uzkrātais aprēķinātās maksājuma mainīgās daļas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katru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aprēķina dienu, ja šajā dienā virspeļņa par pēdējo astoņu gadu periodu ir vienāda ar nulli vai mazāka,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438400" cy="295275"/>
            <wp:effectExtent t="0" b="0" r="0" l="0"/>
            <wp:docPr id="21" name="media/image21.JPG"/>
            <a:graphic>
              <a:graphicData uri="http://schemas.openxmlformats.org/drawingml/2006/picture">
                <pic:pic>
                  <pic:nvPicPr>
                    <pic:cNvPr id="21" name="media/image21.JPG"/>
                    <pic:cNvPicPr/>
                  </pic:nvPicPr>
                  <pic:blipFill>
                    <a:blip r:embed="rId21"/>
                    <a:srcRect/>
                    <a:stretch>
                      <a:fillRect/>
                    </a:stretch>
                  </pic:blipFill>
                  <pic:spPr>
                    <a:xfrm>
                      <a:ext cx="2438400" cy="2952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K,t–1</w:t>
      </w:r>
      <w:r w:rsidR="00000000" w:rsidRPr="00000000" w:rsidDel="00000000">
        <w:rPr>
          <w:rtl w:val="0"/>
        </w:rPr>
        <w:t xml:space="preserve"> – uzkrātais aprēķinātās maksājuma mainīgās daļas apmērs par kārtējo gadu iepriekšējā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gadu uzkrāj no jauna. Kārtējā gada pirmajā aprēķina dienā pirms AMMD aprēķināšanas AMMD apmērs ir 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Pārvaldītājs ieguldījumu plāna finanšu pārskatos uzskaitīto maksājuma mainīgo daļu (UMMD) aprēķina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UMMD par kārtējo gadu aprēķina dienā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943225" cy="266700"/>
            <wp:effectExtent t="0" b="0" r="0" l="0"/>
            <wp:docPr id="22" name="media/image22.JPG"/>
            <a:graphic>
              <a:graphicData uri="http://schemas.openxmlformats.org/drawingml/2006/picture">
                <pic:pic>
                  <pic:nvPicPr>
                    <pic:cNvPr id="22" name="media/image22.JPG"/>
                    <pic:cNvPicPr/>
                  </pic:nvPicPr>
                  <pic:blipFill>
                    <a:blip r:embed="rId22"/>
                    <a:srcRect/>
                    <a:stretch>
                      <a:fillRect/>
                    </a:stretch>
                  </pic:blipFill>
                  <pic:spPr>
                    <a:xfrm>
                      <a:ext cx="2943225" cy="26670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w:t>
      </w:r>
      <w:r w:rsidR="00000000" w:rsidRPr="00000000" w:rsidDel="00000000">
        <w:rPr>
          <w:rtl w:val="0"/>
        </w:rPr>
        <w:t xml:space="preserve"> – ieguldījumu plāna finanšu pārskatos uzskaitītās maksājuma mainīgās daļas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K</w:t>
      </w:r>
      <w:r w:rsidR="00000000" w:rsidRPr="00000000" w:rsidDel="00000000">
        <w:rPr>
          <w:rtl w:val="0"/>
        </w:rPr>
        <w:t xml:space="preserve"> – maksājuma mainīgās daļas maksimālais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w:t>
      </w:r>
      <w:r w:rsidR="00000000" w:rsidRPr="00000000" w:rsidDel="00000000">
        <w:rPr>
          <w:rtl w:val="0"/>
        </w:rPr>
        <w:t xml:space="preserve"> – uzkrātais aprēķinātās maksājuma mainīgās daļas apmērs par kārtējo gadu;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UMMD par aprēķina dienu gada pirmajā aprēķina dienā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33525" cy="257175"/>
            <wp:effectExtent t="0" b="0" r="0" l="0"/>
            <wp:docPr id="23" name="media/image23.JPG"/>
            <a:graphic>
              <a:graphicData uri="http://schemas.openxmlformats.org/drawingml/2006/picture">
                <pic:pic>
                  <pic:nvPicPr>
                    <pic:cNvPr id="23" name="media/image23.JPG"/>
                    <pic:cNvPicPr/>
                  </pic:nvPicPr>
                  <pic:blipFill>
                    <a:blip r:embed="rId23"/>
                    <a:srcRect/>
                    <a:stretch>
                      <a:fillRect/>
                    </a:stretch>
                  </pic:blipFill>
                  <pic:spPr>
                    <a:xfrm>
                      <a:ext cx="1533525" cy="2571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kārtējo gadu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UMMD par citām gada aprēķina dienām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686050" cy="266700"/>
            <wp:effectExtent t="0" b="0" r="0" l="0"/>
            <wp:docPr id="24" name="media/image24.JPG"/>
            <a:graphic>
              <a:graphicData uri="http://schemas.openxmlformats.org/drawingml/2006/picture">
                <pic:pic>
                  <pic:nvPicPr>
                    <pic:cNvPr id="24" name="media/image24.JPG"/>
                    <pic:cNvPicPr/>
                  </pic:nvPicPr>
                  <pic:blipFill>
                    <a:blip r:embed="rId24"/>
                    <a:srcRect/>
                    <a:stretch>
                      <a:fillRect/>
                    </a:stretch>
                  </pic:blipFill>
                  <pic:spPr>
                    <a:xfrm>
                      <a:ext cx="2686050" cy="26670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kārtējo gadu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w:t>
      </w:r>
      <w:r w:rsidR="00000000" w:rsidRPr="00000000" w:rsidDel="00000000">
        <w:rPr>
          <w:vertAlign w:val="subscript"/>
          <w:rtl w:val="0"/>
        </w:rPr>
        <w:t xml:space="preserve">,t–1</w:t>
      </w:r>
      <w:r w:rsidR="00000000" w:rsidRPr="00000000" w:rsidDel="00000000">
        <w:rPr>
          <w:rtl w:val="0"/>
        </w:rPr>
        <w:t xml:space="preserve"> – ieguldījumu plāna finanšu pārskatos uzskaitītās maksājuma mainīgās daļas apmērs par kārtējo gadu iepriekšējā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gada pēdējā aprēķina dienā DV ir vienāda vai mazāka par katra gada pēdējās aprēķina dienas DV iepriekšējo septiņu gadu periodā pirms kārtējā gada (ieguldījumu plāniem, kuru darbības termiņš ir īsāks par septiņiem gadiem, DV salīdzinājumam izmanto katra gada pēdējās aprēķina dienas DV un ieguldījumu plāna darbības uzsākšanas dienas DV) un ja gada pēdējā aprēķina dienā UMMD apmērs par kārtējo gadu ir pozitīvs, UMMD par gada pēdējo aprēķina dienu pārrēķina,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171700" cy="276225"/>
            <wp:effectExtent t="0" b="0" r="0" l="0"/>
            <wp:docPr id="25" name="media/image25.JPG"/>
            <a:graphic>
              <a:graphicData uri="http://schemas.openxmlformats.org/drawingml/2006/picture">
                <pic:pic>
                  <pic:nvPicPr>
                    <pic:cNvPr id="25" name="media/image25.JPG"/>
                    <pic:cNvPicPr/>
                  </pic:nvPicPr>
                  <pic:blipFill>
                    <a:blip r:embed="rId25"/>
                    <a:srcRect/>
                    <a:stretch>
                      <a:fillRect/>
                    </a:stretch>
                  </pic:blipFill>
                  <pic:spPr>
                    <a:xfrm>
                      <a:ext cx="2171700" cy="27622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w:t>
      </w:r>
      <w:r w:rsidR="00000000" w:rsidRPr="00000000" w:rsidDel="00000000">
        <w:rPr>
          <w:vertAlign w:val="subscript"/>
          <w:rtl w:val="0"/>
        </w:rPr>
        <w:t xml:space="preserve">,t–1</w:t>
      </w:r>
      <w:r w:rsidR="00000000" w:rsidRPr="00000000" w:rsidDel="00000000">
        <w:rPr>
          <w:rtl w:val="0"/>
        </w:rPr>
        <w:t xml:space="preserve"> – ieguldījumu plāna finanšu pārskatos uzskaitītās maksājuma mainīgās daļas apmērs par kārtējo gadu iepriekšējā aprēķina dienā.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minētajā gadījumā par gada pēdējo aprēķina dienu pārrēķināto UMMD, tai skaitā pārrēķināto neto aktīvu vērtību un DV, izmanto turpmākajos UMMD aprēķinos.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Kopējo maksājuma mainīgās daļas apmēru par kārtējo gadu pārvaldītājs ietur reizi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2018., 2019., 2020., 2021., 2022., 2023., 2024. un 2025. gadā par perioda sākuma dienu aprēķinos, kas veikti par astoņiem gadiem, uzskata 2017. gada 31. decembri.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Visiem ieguldījumu plāniem par 2017. gada pēdējo aprēķina dienu nosaka 2017. gada 31. decembri.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 iepriekšējo septiņu gadu perioda uzskaite tiek uzsākta no 2017. gada 31. decembra (ieskaitot).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punktu piemēro ieguldījumu plāniem, kas uzsākuši darbību līdz 2017. gada 31. decembrim (ieskaitot).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Ieguldījumu plāniem, kas uzsāk darbību pēc 2025. gada 1. marta (tai skaitā ieguldījumu plāniem, kuriem kopš darbības uzsākšanas pagājuši mazāk nekā septiņi gadi), par perioda sākuma dienu aprēķinos, kas veikti par šo ieguldījumu plānu pirmo astoņu gadu periodu, kā arī aprēķinos, kas veikti šo ieguldījumu plānu darbības pirmajā kalendāra gadā par periodu no gada sākuma, uzskata šo plānu pirmo aprēķina dienu.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 par spēku zaudējušiem Ministru kabineta 2014. gada 14. oktobra noteikumus Nr. 615 "Kārtība, kādā valsts fondēto pensiju shēmas līdzekļu pārvaldītājs aprēķina maksājumu par ieguldījumu plāna pārvaldi un tiek veikta maksājuma uzskaite un ieturēšana" (Latvijas Vēstnesis, 2014, 205.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Noteikumi stājas spēkā 2018.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24-TA-1400</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24-TA-1400</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 Target="media/image10.JP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 Target="media/image13.jpg" Type="http://schemas.openxmlformats.org/officeDocument/2006/relationships/image" Id="rId13"/><Relationship Target="media/image14.JPG" Type="http://schemas.openxmlformats.org/officeDocument/2006/relationships/image" Id="rId14"/><Relationship Target="media/image15.JPG" Type="http://schemas.openxmlformats.org/officeDocument/2006/relationships/image" Id="rId15"/><Relationship Target="media/image16.JPG" Type="http://schemas.openxmlformats.org/officeDocument/2006/relationships/image" Id="rId16"/><Relationship Target="media/image17.PNG" Type="http://schemas.openxmlformats.org/officeDocument/2006/relationships/image" Id="rId17"/><Relationship Target="media/image18.JPG" Type="http://schemas.openxmlformats.org/officeDocument/2006/relationships/image" Id="rId18"/><Relationship Target="media/image19.PNG" Type="http://schemas.openxmlformats.org/officeDocument/2006/relationships/image" Id="rId19"/><Relationship Target="media/image20.JPG" Type="http://schemas.openxmlformats.org/officeDocument/2006/relationships/image" Id="rId20"/><Relationship Target="media/image21.JPG" Type="http://schemas.openxmlformats.org/officeDocument/2006/relationships/image" Id="rId21"/><Relationship Target="media/image22.JPG" Type="http://schemas.openxmlformats.org/officeDocument/2006/relationships/image" Id="rId22"/><Relationship Target="media/image23.JPG" Type="http://schemas.openxmlformats.org/officeDocument/2006/relationships/image" Id="rId23"/><Relationship Target="media/image24.JPG" Type="http://schemas.openxmlformats.org/officeDocument/2006/relationships/image" Id="rId24"/><Relationship Target="media/image25.JPG" Type="http://schemas.openxmlformats.org/officeDocument/2006/relationships/image" Id="rId2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noteikumu_konsolidētā_versija_24-TA-1400.docx</dc:title>
</cp:coreProperties>
</file>

<file path=docProps/custom.xml><?xml version="1.0" encoding="utf-8"?>
<Properties xmlns="http://schemas.openxmlformats.org/officeDocument/2006/custom-properties" xmlns:vt="http://schemas.openxmlformats.org/officeDocument/2006/docPropsVTypes"/>
</file>