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2.2. reformu un investīciju virziena "Uzņēmumu digitālā transformācija un inovācijas" 2.2.1.5.i. investīcijas "Mediju nozares uzņēmumu digitālās transformācijas veicināšana" pasākuma "Mediju nozares uzņēmumu procesu modernizēšana"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2.2. reformu un investīciju virziena "Uzņēmumu digitālā transformācija un inovācijas" 2.2.1.5.i. investīcijas "Mediju nozares uzņēmumu digitālās transformācijas veicināšana" (turpmāk – investīcija) pasākuma "Mediju nozares uzņēmumu procesu modernizēšana"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pasākumam 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pasākuma ieviešanā iesaistīto institūciju kompetenci, tai skaitā iesaistīto institūciju tiesības pieprasīt un saņemt tiešu pieeju datiem valsts informācijas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pasākuma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projekta iesniedzējam un sadarbības partnerim un investīcijas ieviešanas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 iesniegšanas, vērtēšanas un līguma par projekta īstenošanu slēgšanas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investīcijas pasākuma ieviešanu atbildīgā nozares ministrija ir Kultūras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pasākuma mērķis ir veicināt mediju nozares digitālo transformāciju un darbības pielāgošanu mūsdienu mediju patēriņa tendencēm digitālā vidē, vienlaikus veicinot vietējā mediju satura veidotāju ilgtspēju, saglabājot plurālistisku mediju tirgu un stiprinot noturību pret dezinformāciju.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pasākuma mērķa grupa ir mediju nozares asociācijas un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pasākuma ietvaros sasniedzami šādi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mērķrādītājs – līdz 2025. gada 30. jūnijam izveidotas deviņas digitālās platformas vai digitālie risinājumi;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kas saņem atbalstu digitālo produktu, pakalpojumu un lietojumprogrammu izstrādei vai ieviešanai;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uzņēmumi (tai skaitā – mazie (mikro) uzņēmumi, vidējie uzņēmumi un lielie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pasākuma noteiktais mērķrādītājs uzskatāms par izpildītu, kad Centrālajā finanšu un līgumu aģentūrā (turpmāk – aģentūra) pēc veiksmīgas testēšanas ir iesniegts nodošanas un pieņemšanas akts, kas apliecina darbu pabeigšanu un trīs mediju nozares digitālo platformu vai digitālo risinājumu ieviešanu produktīvajā darbībā.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pasākuma projekta ietvaros sasniegtie rezultāti uzskatāmi par izpildītiem, kad finansējuma saņēmējs aģentūrā ir iesniedzis informācijas tehnoloģiju vai uzņēmumu attīstības konsultāciju jomā kompetenta neatkarīga eksperta novērtējumu par projekta rezultātu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pasākumam pieejamais Atveseļošanas fonda finansējums ir 11 100 000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pasākuma ietvaros projektu īstenošanai pieejamais Atveseļošanas fonda finansējums viena projekta īstenošanai nepārsniedz 750 000 </w:t>
      </w:r>
      <w:r w:rsidR="00000000" w:rsidRPr="00000000" w:rsidDel="00000000">
        <w:rPr>
          <w:i w:val="1"/>
          <w:rtl w:val="0"/>
        </w:rPr>
        <w:t xml:space="preserve">euro</w:t>
      </w:r>
      <w:r w:rsidR="00000000" w:rsidRPr="00000000" w:rsidDel="00000000">
        <w:rPr>
          <w:rtl w:val="0"/>
        </w:rPr>
        <w:t xml:space="preserve">. Viens projekta iesniedzējs var iesniegt vienu projekta iesniegumu. Projekta īstenošana var būt vairāku darbību kopums, kas veicina projekta iesniedzēja uzņēmuma digitalizāciju.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Atveseļošanas fonda finansējumu investīcijas pasākuma ietvaros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Atveseļošanas fonda atbalsta intensitāte ir 100 procenti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Pievienotās vērtības nodoklis nav attiecināms finansēšanai no Atveseļošanas fonda līdzekļiem. Pievienotās vērtības nodokļa izmaksas sedz finansējuma saņēmējs no saviem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Atveseļošanas fonda izdevumi ir attiecināmi no dienas, kad noslēgts līgums par projekta īstenošanu,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īstenošanas vieta ir Latvijas Republikas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Atbalstāmo darbību un izmaksu attiecināmība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pasākuma ietvaros atbalstāmas darbības, kas nav pabeigtas līdz projekta iesnieguma iesniegšanai un kas sekmē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investīcijas pasākuma mērķa un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rādītāju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mediju uzņēmumu ražošanas procesu digitalizācija un ražošanas procesu digitalizācijai nepieciešamo rīku izstrāde, iegāde vai atjaunināšana un modernizēšana;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mediju uzņēmumu digitalizācijai nepieciešamo programmatūras un ražošanas un produkta izplatīšanas procesam nepieciešamo plānošanas risinājumu un auditorijas pētījumu risinājumu iegāde vai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mediju uzņēmumu ražošanas procesu digitalizācijai nepieciešamo mākslīgā intelekta risinājumu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mediju uzņēmumu datu uzglabāšanas risinājumu un pakalpojumu attīstība;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 un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pasākumu nodrošināšana.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pasākuma ietvaros ar projekta īstenošanu ir saistītas šādas 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digitālo risinājumu, auditorijas pētījumu, aparatūras, sensoru, iekārtu, programmatūras, programmatūras licenču un informācijas tehnoloģiju infrastruktūras izstrādes, iegādes, uzstādīšanas un pielāgošanas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projekta darbībām tieši saistīto publicitātes un vizuālās identitātes pasākumu izmaksas, nepārsniedzot vienu procentu no projekta kopējām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novērtējuma par projekta rezultātu sasniegšanu sagatavošanas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vadības un projektu īstenošanas personāla izmaksas, nepārsniedzot 10 procentus no projekta kopējām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Investīcijas pasākuma ietvaros radušās izmaksas ir attiecināmas, ja tās atbilst šajos noteikumos minētajām izmaksu pozīcijām, tās ir tieši saistītas ar projekta ietvaros veiktajām darbībām, samērīgas, pamatotas ar izdevumus apliecinošiem dokumentiem, kā arī ir ievēroti saimnieciskuma, lietderības un efektivitātes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projekta īstenošanas laikā sadārdzinās projekta plānotās attiecināmās izmaksas, finansējuma saņēmējs papildu izmaksas sedz no paša rīcībā esošajiem finanšu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saņēmējs nodrošina, lai vienas un tās pašas projekta darbības netiktu finansētas dubultā.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projekta iesniedzējam un investīcijas ieviešanas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var būt: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vai personālsabiedrība, kas vismaz divus gadus pirms projekta iesniegšanas ir reģistrēta Latvijas Republikas Uzņēmumu reģistrā un atbilst vienai no šādām pazīmēm: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īpašniece masu informācijas līdzeklim vai tās biedri ir masu informācijas līdzekļu īpašnieki, bet vienlaikus: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nav sabiedriskais elektroniskais plašsaziņas līdzeklis;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nav pilnībā vai daļēji piederoša Latvijas publiskai personai;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darbības veids pēc NACE klasifikatora ir tirgus un sabiedriskās domas izpēte un tā sniedz pakalpojumus medijiem, tai skaitā Latvijas tirgū veic mediju auditorijas pētījumus;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 persona, kas ir reģistrēta Nacionālajā elektronisko plašsaziņas līdzekļu padomē kā elektroniskais plašsaziņas līdzeklis vai Uzņēmumu reģistra masu informācijas līdzekļu reģistrā vismaz divus gadus pirms projekta iesnieguma iesniegšanas.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projekta īstenošanai var piesaistīt sadarbības partneri, kas iesaistās projekta īstenošanā ar savā valdījumā vai īpašumā esošu mantu, intelektuālo īpašumu, finansējumu vai cilvēkresursiem. Šādi ieguldījumi starp projekta iesniedzēju un sadarbības partneri nerada tādas tiesiskās attiecības, no kurām izriet, ka šis darījums atbilst publiska iepirkuma līguma pazīmēm vai ka darījumam jāpiemēro normatīvie akti par iepirkuma procedūru un tās piemērošanas kārtību pasūtītāja finansētiem projektiem, proti, projekta iesniedzējs un sadarbības partneris savā starpā nenorēķinās par sniegto pakalpojumu un precēm.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Sadarbības partneris (ja attiecināms) vismaz divus gadus pirms projekta iesniegšanas ir Latvijas Republikas Uzņēmumu reģistrā reģistrēta juridiska persona, kas sniedz pakalpojumus masu informācijas līdzekļiem un atbilst visām šīm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sabiedriskais elektroniskais plašsaziņas līdzeklis;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pilnībā vai daļēji piederošs Latvijas publiskai personai;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vismaz viena no šādām juridiskajām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īpašnieks masu informācijas līdzeklim vai līdzekļiem;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masu informācijas līdzekļu īpašniekus;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mediju auditorijas pētniecības uzņēmums.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ar sadarbības partneri (ja attiecināms) slēdz rakstveida sadarbības līgumu, kurā ietver pušu pienākumus, tiesības un atbildību projekta mērķa un rādītāju sasniegšanā. Sadarbības līgumu pievieno projekta iesniegumam.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sagatavo projekta iesniegumu saskaņā ar projektu iesniegumu atlases nolikumu un iesniedz to Kohēzijas politikas fondu vadības informācijas sistēmā (turpmāk – Vadības informācijas sistēma) paziņojumā par projekta iesniegumu atlases izsludināšanu noteiktajā termiņā.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iesniegumu iesniegšanas, vērtēšanas un līguma par projekta īstenošanu slēgšanas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izsludina projektu iesniegumu atlasi, publicējot oficiālajā izdevumā "Latvijas Vēstnesis" un tīmekļvietnē </w:t>
      </w:r>
      <w:r w:rsidR="00000000" w:rsidRPr="00000000" w:rsidDel="00000000">
        <w:rPr>
          <w:rtl w:val="0"/>
        </w:rPr>
        <w:t xml:space="preserve">www.cfla.gov.lv</w:t>
      </w:r>
      <w:r w:rsidR="00000000" w:rsidRPr="00000000" w:rsidDel="00000000">
        <w:rPr>
          <w:rtl w:val="0"/>
        </w:rPr>
        <w:t xml:space="preserve"> paziņojumu par atklātas projektu iesniegumu atlases izsludināšanu, pagarināšanu, pārtraukšanu vai izbeigšanu. Projektu iesniegumu iesniegšanai nosaka termiņu, kas nav īsāks par trim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iesniegumu, kurš iesniegts pēc projektu iesniegumu iesniegšanas beigu datuma, nevērtē. Aģentūra par to informē projekta iesniedzēju.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kurā iekļauj nozares ministrijas deleģētu pārstāvi. Vērtēšanas komisija darbam komisijā bez balsstiesībām pieaicina vismaz vienu informācijas tehnoloģiju ekspertu.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nosacījumiem un šo noteikumu pielikumā minētajiem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kritērijiem. Ja projektu iesniegumu vērtēšanas komisija konstatē, ka uz projekta iesniedzēju ir attiecināms vismaz viens no izslēgšanas kritērijiem, turpmāko projekta iesnieguma vērtēšanu neveic;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kritērijiem, kas ietver projektu vispārīgos un specifiskos atbilstības kritērijus. Projektu iesniegumus atbilstoši šiem kritērijiem vērtē, lai gūtu pārliecību, ka projekta iesniegums atbilst nepieciešamajiem nosacījumiem, lai kvalificētos atbalstam investīcijas ietvaros (tai skaitā ir ievērots princips "Nenodarīt būtisku kaitējumu");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Kvalitātes kritērijiem atbilstošos projektu iesniegumus sarindo pēc augstākā iegūtā kopējā punktu skaita un priekšroku dod projekta iesniegumam ar lielāko kopējo punktu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kopējais punktu skaits ir vienāds, priekšroku dod projekta iesniegumam, kuru paredzēts īstenot plānošanas reģionā ar mazāko reģionālo iekšzemes kopproduktu uz vienu iedzīvotāju (pēc pēdējiem aktuālajiem Centrālās statistikas pārvaldes datiem par pēdējo aktuālo kalendāra gadu). Ja kopējais punktu skaits ir vienāds arī projekta iesniegumiem ar vienādu reģionālo iekšzemes kopproduktu uz vienu iedzīvotāju, priekšroku dod projekta iesniegumam, kurš ieguvis augstāku vērtējumu par šo noteikumu pielikuma 4.1. apakšpunktā minētā kvalitātes kritērija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Lēmumu par projekta iesnieguma apstiprināšanu pieņem, ja ir izpildīti visi šie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neviens no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ir pieejams finansējums projekta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Ja kāds no lēmumā par projekta iesnieguma apstiprināšanu ar nosacījumu noteiktajiem nosacījumiem netiek izpildīts vai netiek izpildīts lēmumā par projekta iesnieguma apstiprināšanu ar nosacījumu noteiktajā termiņā, projekta iesniegumu noraida. Ja minētie nosacījumi tiek izpildīti, aģentūra izdod atzinumu par lēmumā noteikto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projekta iesnieguma noraidīšanu pieņem, ja ir spēkā vismaz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vismaz viens no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iesniedzējs neatbilst neprecizējamam vispārīgajam atbilstības kritērijam;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iesniegums nav saņēmis minimālo punktu skaitu kādā no kvalitātes kritērijiem vai kopējo minimālo punktu skaitu kvalitātes kritērijos;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ietvaros nav pieejams finansējums projekta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iesniedzēji pēc aģentūras lēmuma par projekta iesnieguma apstiprināšanu stāšanās spēkā kļūst par finansējuma saņēmējiem.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Aģentūras lēmumu par projekta iesnieguma apstiprināšanu, apstiprināšanu ar nosacījumu vai noraidīšanu mēneša laikā var apstrīdēt Finanšu ministrijā. Finanšu ministrijas izdoto administratīvo aktu var pārsūdzēt Administratīvā procesa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Līgumā par projekta īstenošanu paredz vismaz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maksājuma pieprasījumu iesniegšanas grafika iesniegšanas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plāna iesniegšanas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avansa, starpposma un noslēguma maksājumu pieprasījuma iesniegšanas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iesniedz dokumentus, kas apliecina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rādītāja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vadības informācijas sistēmā ievada šo noteikumu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minētos projekta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aģentūra var vienpusēji atkāpties no līguma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Investīcijas pasākuma ietvaros projektu var īstenot līdz 2026.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tam kad noslēgts līgums par projekta īstenošanu, aģentūra nodrošina finansējuma saņēmējam maksājumus, ievērojot šādu maksājumu pieprasīšanas un izmaksāšanas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avansa maksājumu var saņemt, ja ir atvēris kontu Valsts kasē vai darījumu kontu Latvijas Republikā reģistrētā kredītiestādē vai Eiropas Savienībā reģistrētā kredītiestādē, kas ir izsniegusi bankas garantiju par labu aģentūrai, iesniedzot pieprasījumu avansa maksājumam un nodrošinot, ka tas nepārsniedz 30 procentus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var saņemt vairākus avansus, paredzot, ka nākamo avansu var saņemt pēc tam, kad iepriekšējais saņemtais avanss ir ieguldīts pilnā apmērā un ir sagatavots detalizēts apraksts un tehniskā specifikācija digitalizācijas risinājumiem, ko plānots iegādāties;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var iesniegt pieprasījumu starpposma maksājumam ne retāk kā reizi sešos mēnešos;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veicot avansa un starpposma maksājumus, nodrošina, ka finansējuma saņēmējam veikto avansa un starpposma maksājumu kopsumma nepārsniedz 90 procentus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noslēguma maksājuma saņemšanai finansējuma saņēmējs iesniedz noslēguma maksājuma apmēra pamatojumu un nodošanas un pieņemšanas aktu, kas apliecina darbu pabeigšanu, veiksmīgu testēšanu, ieviešanu produktīvajā darbībā un lietotājam pieejamu digitālo platformu vai digitālo risinājumu.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Kultūras ministrijas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sabiedrībai informāciju par investīcijas pasākuma ieviešanas progresu un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Atveseļošanas fonda plāna īstenošanas progresa pusgada ziņojuma un maksājuma pieprasījuma sagatavošanai saskaņā ar normatīvajiem aktiem par Eiropas Savienības Atveseļošanas un noturības mehānisma plāna īstenošanas un uzraudzības kārtību sniegt informāciju vadības informācijas sistēmā par investīcijas pasākuma īstenošanas progresu, ņemot vērā aģentūras ievadīto informāciju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Investīcijas pasākuma ietvaros aģentūra atbilstoši normatīvajiem aktiem, kas nosaka Atveseļošanas fonda plāna īstenošanas un uzraudzības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izmaksu atbilstību šiem noteikumiem un noslēgtajiem līgumiem par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investīcijas īstenošanas uzraudzību, tai skaitā pārliecinās par investīcijas pasākuma sasniedzamā mērķa un rādītāju izpildi pēc finansējuma saņēmēju iesniegtās informācijas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līmenī izlases veidā nodrošina korupcijas, krāpšanas, interešu konflikta novēršanas principu pārbaudes saskaņā ar 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pantu, kā arī dubultfinansējuma riska novēršanas un sasniegto mērķu pamatojošās dokumentācijas pārbaudes izlases veidā, tai skaitā datu ticamības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projektu iesniegumu vērtēšanas komisiju un izvērtē projektu iesniedzēju iesniegtos projektu iesniegumus atbilstoši projektu iesniegumu vērtēšanas kritērijiem un šo noteikumu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noslēdz līgumus par projekta īstenošanu ar finansējuma saņēmējiem, iekļaujot pienākumu finansējuma saņēmējiem iesniegt aģentūrai neatkarīgu novērtējumu par projekta rezultātu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Aģentūrai investīcijas pasākuma īstenošanai un uzraudzībai šo noteikumu ietvaros ir tiesības pieprasīt un saņemt informāciju no valsts informācijas sistēmām normatīvajos aktos par valsts informācijas sistēmām noteiktajā apjomā. Lai nodrošinātu pieeju datiem, aģentūra, ja nepieciešams, slēdz vienošanos ar attiecīgās valsts informācijas sistēmas, datubāzes vai reģistra pārzini.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saņēmēja un sadarbības partnera (ja attiecināms)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korupcijas un krāpšanas novēršanas nosacījumu ievērošanu, kā arī interešu konflikta un dubultā finansējuma riska novēršanu;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kas nepieciešams projekta īstenošanai, veikt saskaņā ar normatīvajiem aktiem publisko iepirkumu jomā, īstenojot atklātu, pārredzamu, nediskriminējošu un konkurenci nodrošinošu konkursa procedūru. Veicot datortehnikas un cita tehnoloģiskā aprīkojuma (iekārtu) iegādi, atbalstāma ir zaļā publiskā vai inovāciju iepirkuma principu un vides prasību integrācija preču un pakalpojumu iepirkumos, kā arī vides pieejamības un izmantojamības nodrošināšana – sociāli atbildīgs iepirkums;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projektā plānotās darbības īsteno saskaņā ar Eiropas Parlamenta un Padomes 2021. gada 12. februāra Regulas (ES) Nr. 2021/241, ar ko izveido Atveseļošanas un noturības mehānismu (turpmāk – regula Nr. 2021/241), 2. panta 6. punktu, ievērojot principu "Nenodarīt būtisku kaitējumu".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noslēgts līgums par projekta īstenošanu, vadības informācijas sistēmā iesniegt iepirkuma plānu un plānoto maksājuma pieprasījumu iesniegšanas grafiku un, ja nepieciešams, tos aktualizēt;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datu ievadi vadības informācijas sistēmā progresa pusgada ziņojuma un maksājuma pieprasījuma informācijas sagatavošanai atbilstoši regulas Nr. 2021/241 22. un 27. pantam;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piekļuvi ar projekta īstenošanu saistītajai informācijai un spēt to uzrādīt Eiropas Komisijas un Latvijas Republikas Atveseļošanas un noturības mehānisma finansēšanas nolīgumā, normatīvajos aktos, kas nosaka Atveseļošanas fonda plāna īstenošanas un uzraudzības kārtību, minētajām iestādēm un revīzijas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atsevišķu grāmatvedības uzskaiti par projekta izdevumiem saskaņā ar normatīvo aktu prasībām grāmatvedības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informācijas un publicitātes pasākumus saskaņā ar regulas Nr. 2021/241 34. panta 2. punktu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datu uzkrāšanu par horizontālā principa "Vienlīdzība, iekļaušana, nediskriminācija un pamattiesību ievērošana" rādītāju "Objektu skaits, kuros Atveseļošanas fonda ieguldījumu rezultātā ir nodrošināta vides un informācijas pieejamība"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projektu īstenošanas dokumentu, tai skaitā testēšanas, nodošanas un pieņemšanas akta un neatkarīga eksperta novērtējuma par projekta rezultātu sasniegšanu, glabāšanu visā projekta īstenošanas laikā un piecus gadus pēc pēdējā maksājuma dalībvalstij vai līdz 2031.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Aģentūrai investīcijas pasākuma ietvaros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mērķa vai noteikto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par projekta īstenošanu.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24-TA-2721</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24-TA-2721</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noteikumu_konsolidētā_versija_24-TA-2721.docx</dc:title>
</cp:coreProperties>
</file>

<file path=docProps/custom.xml><?xml version="1.0" encoding="utf-8"?>
<Properties xmlns="http://schemas.openxmlformats.org/officeDocument/2006/custom-properties" xmlns:vt="http://schemas.openxmlformats.org/officeDocument/2006/docPropsVTypes"/>
</file>