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jūnijā (prot. Nr. 23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(Latvijas Vēstnesis, 2023, 121.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Investīcijas mērķis ir veicināt bezdarbnieku, darba meklētāju un bezdarba riskam pakļauto personu konkurētspēju un iekļaušanos darba tirgū, īstenojot profesionālās izglītības, pārkvalifikācijas, kvalifikācijas paaugstināšanas un neformālās izglītības pasākumus, un uzlabotas profilēšanas sistēmas ietvaros izstrādāt un ieviest digitālu prasmju novērtēšanas rīku efektīvāka individuālā pārkvalificēšanās un prasmju pilnveides piedāvājuma veidošanai, uzsvaru liekot uz digitālajām prasmēm.";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6.1.2.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"6.1.2. līdz 2023. gada 31. decembrim – digitālā rīka izstrāde prasmju novērtēšanai;";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Atskaites punktu, mērķrādītāju, uzraudzības rādītāja un kopējo rādītāju sasniegšanu apliecina Kohēzijas politikas fondu vadības informācijas sistēmā (turpmāk – vadības informācijas sistēma) pieejams šāds dokumentu un informācijas kopums: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šo noteikumu 6.1.1. apakšpunktā minētā atskaites punkta sasniegšanu apliecina Labklājības ministrijas izveidotās mācību komisijas sēdes protokols (kopija), ar kuru apstiprināts jauns pārkvalificēšanās un prasmju pilnveides izglītības programmu saraksts (tostarp digitālo prasmju izglītības programmas) finansējuma saņēmēja klientiem, un informācija no protokola attiecīgajām daļām, kas apstiprina atbilstību norādītajam atskaites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šo noteikumu 6.1.2. apakšpunktā minētā atskaites punkta sasniegšanu apliecina: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7.2.1. īss prasmju novērtēšanai izstrādātā digitālā rīka apraksts, kas apliecina atbilstību atskaites punktam, tai skaitā norādot, kā digitālais rīks uzlabos klientu profilēšanas metodi atbilstoši atskaites punkta aprakstam;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7.2.2. klientu profilēšanas metodes apraksts, norādot, kā tā darbojas, kā to papildina digitālais rīks un kā testu rezultāti tiek izmantoti karjeras konsultāciju sniegšanas procesā un mācību vajadzību noteikšanā;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7.2.3. finansējuma saņēmēja un pakalpojuma sniedzēja parakstīts pieņemšanas un nodošanas akts (kopija) par izstrādāto digitālo rīku, ja digitālo rīku izstrādā publiskajā iepirkumā piesaistīts pakalpojumu sniedzējs;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7.2.4. finansējuma saņēmēja sagatavots un anonimizēts no Bezdarbnieku uzskaites un reģistrēto vakanču informācijas sistēmas (turpmāk – BURVIS) izdrukāts to mērķa grupas personu saraksts, kurām šo noteikumu 6.1.2. apakšpunktā minētā atskaites punkta sasniegšanas periodā tika veikta prasmju novērtēšana, izmantojot digitālo rīku;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šo noteikumu 6.2. apakšpunktā minēto mērķrādītāju un 6.3. apakšpunktā minētā uzraudzības rādītāja sasniegšanu apliecina: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7.3.1. </w:t>
      </w:r>
      <w:r w:rsidR="00000000" w:rsidRPr="00000000" w:rsidDel="00000000">
        <w:rPr>
          <w:i w:val="1"/>
          <w:rtl w:val="0"/>
        </w:rPr>
        <w:t xml:space="preserve">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7.3.2. finansējuma saņēmēja sagatavots un anonimizēts to mērķa grupas personu saraksts, kuras piedalījušās finansējuma saņēmēja īstenotajās šo noteikumu 15.2., 15.3., 15.4., 15.5., 15.6., 15.7., 15.8. un 15.9. apakšpunktā minētajās atbalstāmajās darbībās (izdruka no BURVIS). Finansējuma saņēmējs sarakstā iekļauj norādi, vai mērķa grupas personai ir veikta prasmju novērtēšana, izmantojot digitālo rīku;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7.3.3. īss tēmu apraksts par tiem prasmju pilnveides pasākumiem, kuros  ir piedalījušās mērķa grupas personas;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šo noteikumu 6.4.1. apakšpunktā minētā kopējā rādītāja izpildi apliecina finansējuma saņēmēja sagatavots un anonimizēts to mērķa grupas personu saraksts, kuras piedalījušās finansējuma saņēmēja īstenotajās šo noteikumu 15.2., 15.3., 15.4., 15.5., 15.6., 15.7., 15.8. un 15.9. apakšpunktā minētajās atbalstāmajās darbībās (izdruka no BURVIS), dalījumā pa dzimumiem un vecuma grupām, atsevišķi norādot informāciju par personām, kuras piedalījušās digitālo prasmju pilnveidē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 šo noteikumu 6.4.2. apakšpunktā minētā kopējā rādītāja izpildi apliecina finansējuma saņēmēja sagatavots un anonimizēts to bezdarbnieku saraksts, kuri četru nedēļu laikā pēc dalības pabeigšanas šo noteikumu 15.2., 15.3., 15.4., 15.5., 15.6., 15.7., 15.8. un 15.9. apakšpunktā minētajā projekta atbalstāmajā darbībā ir nodarbināti vai iesaistījušies darba meklēšanā (izdruka no BURVIS);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 šo noteikumu 6.4.3. apakšpunktā minētā kopējā rādītāja izpildi apliecina finansējuma saņēmēja sagatavots un anonimizēts to mērķa grupas personu saraksts, kuras saņem atbalstu šo noteikumu 15.2., 15.3., 15.4., 15.5., 15.6., 15.7., 15.8. un 15.9. apakšpunktā minētajās atbalstāmajās darbībās un ir vecumā no 15 līdz 29 gadiem (izdruka no BURVIS).";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15.12.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"15.12. prasmju novērtēšanai paredzētā digitālā rīka izstrāde un ieviešana;";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16.2.1.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"16.2.1. stipendijas izmaksas bezdarbniekiem, kuri piedalās šo noteikumu 15.3.1., 15.3.2., 15.4., 15.5. un 15.6. apakšpunktā minētajās atbalstāmajās darbībās, piemērojot ministrijas izstrādāto metodiku par vienas vienības izmaksu standarta likmes aprēķinu un piemērošanu profesionālās un neformālās izglītības mācību programmas apguves un stipendijas izmaksām (turpmāk – mācību izmaksu metodika);";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16.3.11.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"16.3.11. tehniskās specifikācijas un digitālā rīka izstrādes izmaksas šo noteikumu 15.12. apakšpunktā minētās atbalstāmās darbības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21.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26.2.4.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"26.2.4. veic avansa maksājumu izglītības iestādei, nepārsniedzot 20 procentus no kupona vērtības, ja izglītības iestāde ir iesniegusi avansa rēķinu;";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26.2.11.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"26.2.11. šo noteikumu 15.12. apakšpunktā minēto digitālo rīku prasmju novērtēšanai var darīt publiski pieejamu jebkuram interesentam.";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papildināt ar 26.2.12.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"26.2.12. nodrošina investīcijas atbalsta demarkāciju ar citiem valsts un ārvalstu finanšu atbalsta instrumentiem.";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31.2.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 sagatavo un nosūta aģentūrai metodiskas norādes finansējuma saņēmējam par pārskata sagatavošanu, lai pamatotu šo noteikumu 6.1.2. apakšpunktā noteiktā atskaites punkta, 6.2. apakšpunktā noteikto mērķrādītāju un 6.3. apakšpunktā noteiktā uzraudzības rādītāja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Finanšu atbalstu, ko finansējuma saņēmējs dotācijas veidā piešķir saimnieciskās darbības veicējam šo noteikumu 16.3.6. un 16.3.7. apakšpunktā paredzētajām izmaksām, sniedz saskaņā ar Komisijas 2023. gada 13. decembra Regulu (ES) 2023/2831 par Līguma par ES darbību 107. un 108. panta piemērošanu </w:t>
      </w:r>
      <w:r w:rsidR="00000000" w:rsidRPr="00000000" w:rsidDel="00000000">
        <w:rPr>
          <w:i w:val="1"/>
          <w:rtl w:val="0"/>
        </w:rPr>
        <w:t xml:space="preserve">de minimis </w:t>
      </w:r>
      <w:r w:rsidR="00000000" w:rsidRPr="00000000" w:rsidDel="00000000">
        <w:rPr>
          <w:rtl w:val="0"/>
        </w:rPr>
        <w:t xml:space="preserve">atbalstam (ES Oficiālais Vēstnesis, 2023. gada 15. decembris, Nr. L 2023/2831) (turpmāk – Komisijas regula  2023/2831), Komisijas 2014. gada 27. jūnija Regulu (EK) Nr. 717/2014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(ES Oficiālais Vēstnesis, 2014. gada 28. jūnijs, Nr. L 190) (turpmāk – Komisijas regula Nr.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(ES Oficiālais Vēstnesis, 2013. gada 28. decembris, Nr. L 354), vai Komisijas 2013. gada 18. decembra Regulu (ES) Nr. 1408/2013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(ES Oficiālais Vēstnesis, 2013. gada 24. decembris, Nr. L 352) (turpmāk – Komisijas regula Nr. 1408/2013).";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Pieņemot lēmumu par </w:t>
      </w:r>
      <w:r w:rsidR="00000000" w:rsidRPr="00000000" w:rsidDel="00000000">
        <w:rPr>
          <w:i w:val="1"/>
          <w:rtl w:val="0"/>
        </w:rPr>
        <w:t xml:space="preserve">de minimis </w:t>
      </w:r>
      <w:r w:rsidR="00000000" w:rsidRPr="00000000" w:rsidDel="00000000">
        <w:rPr>
          <w:rtl w:val="0"/>
        </w:rPr>
        <w:t xml:space="preserve">atbalsta piešķiršanu, ko finansējuma saņēmējs dotācijas veidā piešķir saimnieciskās darbības veicējam šo noteikumu 16.3.6. un 16.3.7. apakšpunktā paredzētajām izmaksām, ievēro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 </w:t>
      </w:r>
      <w:r w:rsidR="00000000" w:rsidRPr="00000000" w:rsidDel="00000000">
        <w:rPr>
          <w:i w:val="1"/>
          <w:rtl w:val="0"/>
        </w:rPr>
        <w:t xml:space="preserve">de minimis</w:t>
      </w:r>
      <w:r w:rsidR="00000000" w:rsidRPr="00000000" w:rsidDel="00000000">
        <w:rPr>
          <w:rtl w:val="0"/>
        </w:rPr>
        <w:t xml:space="preserve"> atbalstu piešķir, ievērojot Komisijas regulas 2023/2831 1. panta 1. punktā, Komisijas regulas Nr.  717/2014 1. panta 1. punktā un Komisijas regulas Nr.  1408/2013 1. panta 1. punktā minētos nozaru un darbības ierobežojumus;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 pirms finanšu atbalsta piešķiršanas finansējuma saņēmējs pārbauda, vai saimnieciskās darbības veicējam minētais finanšu atbalsts nepalielina: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36.2.1.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717/2014 3. panta 2. punktā (saimnieciskās darbības veicējiem, kuri darbojas zvejniecības un akvakultūras nozarē saskaņā ar Eiropas Parlamenta un Padomes regulu Nr. 1379/2013) vai Komisijas regulas Nr. 1408/2013 3. panta 3.a punktā (saimnieciskās darbības veicējiem, kuri nodarbojas ar lauksaimniecības produktu primāro ražošanu) noteikto maksimālo </w:t>
      </w:r>
      <w:r w:rsidR="00000000" w:rsidRPr="00000000" w:rsidDel="00000000">
        <w:rPr>
          <w:i w:val="1"/>
          <w:rtl w:val="0"/>
        </w:rPr>
        <w:t xml:space="preserve">de minimis</w:t>
      </w:r>
      <w:r w:rsidR="00000000" w:rsidRPr="00000000" w:rsidDel="00000000">
        <w:rPr>
          <w:rtl w:val="0"/>
        </w:rPr>
        <w:t xml:space="preserve"> atbalsta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36.2.2. iepriekšējo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36.3. izvērtējot finanšu atbalsta apmēru, jāvērtē saņemtais </w:t>
      </w:r>
      <w:r w:rsidR="00000000" w:rsidRPr="00000000" w:rsidDel="00000000">
        <w:rPr>
          <w:i w:val="1"/>
          <w:rtl w:val="0"/>
        </w:rPr>
        <w:t xml:space="preserve">de minimis </w:t>
      </w:r>
      <w:r w:rsidR="00000000" w:rsidRPr="00000000" w:rsidDel="00000000">
        <w:rPr>
          <w:rtl w:val="0"/>
        </w:rPr>
        <w:t xml:space="preserve">atbalsts viena vienota uzņēmuma līmenī. Viens vienots uzņēmums ir tāds uzņēmums, kas atbilst Komisijas regulas 2023/2831 2. panta 2. punktā, Komisijas regulas Nr. 1408/2013 2. panta 2. punktā vai Komisijas regulas Nr. 717/2014 2. panta 2. punktā minētajiem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36.4. finanšu atbalstu nepiešķir, ja saimnieciskās darbības veicējam ar tiesas spriedumu ir pasludināts saimnieciskās darbības veicēja maksātnespējas process, ir ierosināta tiesiskās aizsardzības procesa lieta vai tiek īstenots tiesiskās aizsardzības process, ir apturēta vai pārtraukta saimnieciskā darbība vai saimnieciskās darbības veicējs tiek likvidēts;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36.5. saimnieciskās darbības veicējam piešķirto </w:t>
      </w:r>
      <w:r w:rsidR="00000000" w:rsidRPr="00000000" w:rsidDel="00000000">
        <w:rPr>
          <w:i w:val="1"/>
          <w:rtl w:val="0"/>
        </w:rPr>
        <w:t xml:space="preserve">de minimis </w:t>
      </w:r>
      <w:r w:rsidR="00000000" w:rsidRPr="00000000" w:rsidDel="00000000">
        <w:rPr>
          <w:rtl w:val="0"/>
        </w:rPr>
        <w:t xml:space="preserve">atbalstu nekumulē ar citu </w:t>
      </w:r>
      <w:r w:rsidR="00000000" w:rsidRPr="00000000" w:rsidDel="00000000">
        <w:rPr>
          <w:i w:val="1"/>
          <w:rtl w:val="0"/>
        </w:rPr>
        <w:t xml:space="preserve">de minimis </w:t>
      </w:r>
      <w:r w:rsidR="00000000" w:rsidRPr="00000000" w:rsidDel="00000000">
        <w:rPr>
          <w:rtl w:val="0"/>
        </w:rPr>
        <w:t xml:space="preserve">atbalstu un citu valsts atbalstu attiecībā uz vienām un tām pašām attiecināmajām izmaksām vai citu valsts atbalstu tam pašam riska finansējuma pasākumam.";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Ja saimnieciskās darbības veicējs vienlaikus darbojas vienā vai vairākās Komisijas regulas 2023/2831 1. panta 1. punkta "a", "b", "c" un "d" apakšpunktā minētajās nozarēs, atbalstu drīkst piešķirt tikai tad, ja atbalsta pretendents nodrošina šo nozaru darbību vai uzskaites nodalīšanu, lai saskaņā ar Komisijas regulas 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Lēmumu par </w:t>
      </w:r>
      <w:r w:rsidR="00000000" w:rsidRPr="00000000" w:rsidDel="00000000">
        <w:rPr>
          <w:i w:val="1"/>
          <w:rtl w:val="0"/>
        </w:rPr>
        <w:t xml:space="preserve">de minimis</w:t>
      </w:r>
      <w:r w:rsidR="00000000" w:rsidRPr="00000000" w:rsidDel="00000000">
        <w:rPr>
          <w:rtl w:val="0"/>
        </w:rPr>
        <w:t xml:space="preserve"> atbalsta piešķiršanu var pieņemt saskaņā ar Komisijas regulas 2023/2831 7. panta 3. punktu un 8. pantu, Komisijas regulas Nr. 717/2014 7. panta 4. punktu un 8. pantu un Komisijas regulas Nr. 1408/2013 7. panta 4. punktu un 8. pantu atbilstoši šo regulu darbības termiņam.";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Ja tiek pārkāpti Komisijas regulas 2023/2831, Komisijas regulas Nr. 717/2014 vai Komisijas regulas Nr. 1408/2013 nosacījumi, atbalsta saņēmējam ir pienākums atmaksāt finansējuma saņēmējam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1.12., 1.13., 1.14., 1.15. un 1.16. apakšpunkts stājas spēkā 2024.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24-TA-207</w:t>
    </w:r>
    <w:r>
      <w:br/>
    </w:r>
    <w:r w:rsidR="00000000" w:rsidRPr="00000000" w:rsidDel="00000000">
      <w:rPr>
        <w:rtl w:val="0"/>
      </w:rPr>
      <w:t xml:space="preserve">Izdrukāts 29.07.2026. 22.10 - 1.0.VK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24-TA-207</w:t>
    </w:r>
    <w:r>
      <w:br/>
    </w:r>
    <w:r w:rsidR="00000000" w:rsidRPr="00000000" w:rsidDel="00000000">
      <w:rPr>
        <w:rtl w:val="0"/>
      </w:rPr>
      <w:t xml:space="preserve">Izdrukāts 29.07.2026. 22.10 - 1.0.VK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noteikumu_(grozījumu)_projekts_24-TA-207.docx</dc:title>
</cp:coreProperties>
</file>

<file path=docProps/custom.xml><?xml version="1.0" encoding="utf-8"?>
<Properties xmlns="http://schemas.openxmlformats.org/officeDocument/2006/custom-properties" xmlns:vt="http://schemas.openxmlformats.org/officeDocument/2006/docPropsVTypes"/>
</file>