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(Latvijas Vēstnesis, 2023, 250. nr.; 2024, 86. nr.; 2025, 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programmas iznākuma rādītājs: nacionāla, reģionāla vai vietēja mēroga valsts administrācijas vai sabiedrisko pakalpojumu iestāžu un pakalpojumu skaits, kas saņēmuši atbalstu, –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programmas iznākuma rādītājs: biedrības, nodibinājumi un uzņēmumi, kas saņēmuši atbalstu, –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nacionālais rādītājs: personas, kuras saņēmušas inovatīvus sabiedrībā balstītus sociālos pakalpojumus, – 480;".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programmas rezultāta rādītājs: sabiedrībā balstītu sociālo pakalpojumu skaita pieaugums – 24."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pieejamais kopējais finansējums ir 10 202 272 </w:t>
      </w:r>
      <w:r w:rsidR="00000000" w:rsidRPr="00000000" w:rsidDel="00000000">
        <w:rPr>
          <w:i w:val="1"/>
          <w:rtl w:val="0"/>
        </w:rPr>
        <w:t xml:space="preserve">euro</w:t>
      </w:r>
      <w:r w:rsidR="00000000" w:rsidRPr="00000000" w:rsidDel="00000000">
        <w:rPr>
          <w:rtl w:val="0"/>
        </w:rPr>
        <w:t xml:space="preserve">, tai skaitā Eiropas Sociālā fonda Plus finansējums – 8 671 931 </w:t>
      </w:r>
      <w:r w:rsidR="00000000" w:rsidRPr="00000000" w:rsidDel="00000000">
        <w:rPr>
          <w:i w:val="1"/>
          <w:rtl w:val="0"/>
        </w:rPr>
        <w:t xml:space="preserve">euro</w:t>
      </w:r>
      <w:r w:rsidR="00000000" w:rsidRPr="00000000" w:rsidDel="00000000">
        <w:rPr>
          <w:rtl w:val="0"/>
        </w:rPr>
        <w:t xml:space="preserve"> un valsts budžeta finansējums – 1 530 341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Pasākumā Eiropas Sociālā fonda Plus finansējuma ietvaros pieejams šķērsfinansējums Eiropas Reģionālā attīstības fonda atbalsta jomas izmaksām sabiedrībā balstītu sociālo pakalpojumu inovāciju īstenošanai, kas nepārsniedz 1 296 000 </w:t>
      </w:r>
      <w:r w:rsidR="00000000" w:rsidRPr="00000000" w:rsidDel="00000000">
        <w:rPr>
          <w:i w:val="1"/>
          <w:rtl w:val="0"/>
        </w:rPr>
        <w:t xml:space="preserve">euro</w:t>
      </w:r>
      <w:r w:rsidR="00000000" w:rsidRPr="00000000" w:rsidDel="00000000">
        <w:rPr>
          <w:rtl w:val="0"/>
        </w:rPr>
        <w:t xml:space="preserve"> jeb 13 procentus no pasākumam pieejamā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finansējuma saņēmēja projekta vadības un īstenošanas personāla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19.3.4.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20.2.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Šo noteikumu 18.2. apakšpunktā minētās netiešās attiecināmās izmaksas finansējuma saņēmējs plāno kā vienu izmaksu pozīciju 15 procentu apmērā no šo noteikumu 19.1. apakšpunktā minētajām personāla izmaksām, kas radušās uz civildienesta vai darba tiesisko attiecību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30.2.5.27.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"30.2.5.27. netiešajām izmaksām 15 procentu apmērā no šo noteikumu 30.2.5.1. apakšpunktā minētajām personāla izmaksām, kas radušās uz civildienesta vai darba tiesisko attiecību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avansa maksājumu gala labuma guvējs var saņemt, pamatojot avansa maksājuma apmēru, un tas nevar pārsniegt 30 procentus no šo noteikumu 30.2.5. apakšpunktā noteiktā kopējā finansējuma apmēra sociālās inovācijas īstenošanai. Piešķirtais avanss gala labuma guvējam, ja tā ir pašvaldības iestāde, ir jāizlieto sešu mēnešu laikā saimnieciskā gada ietvaros, pārējiem gala labuma guvējiem – sešu mēnešu laikā no tā piešķiršanas brīža;".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nodibina civildienesta vai darba tiesiskās attiecības ar projekta vadības un īstenošanas personālu vai piesaista pakalpojumu sniedzēju šo noteikumu 37.2. apakšpunktā minētajā kārtībā. Civildienesta vai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"37.4. savā oficiālajā tīmekļvietnē un sociālajos tīklos ievieto informāciju par projekta īstenošanu un, ja nepieciešams, aktualizē 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37.5.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"37.5. nodrošina, ka projektā plānotās atbalstāmās darbības netiek finansētas, kā arī tās nav plānots finansēt no citiem valsts, pašvaldības vai ārvalstu finanšu atbalsta instrumentiem, un nodrošina dubultā finansējuma neiestāšanos."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25-TA-964</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25-TA-964</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noteikumu_(grozījumu)_projekts_25-TA-964.docx</dc:title>
</cp:coreProperties>
</file>

<file path=docProps/custom.xml><?xml version="1.0" encoding="utf-8"?>
<Properties xmlns="http://schemas.openxmlformats.org/officeDocument/2006/custom-properties" xmlns:vt="http://schemas.openxmlformats.org/officeDocument/2006/docPropsVTypes"/>
</file>