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530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13. augustā (prot. Nr. 31 47.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2007. gada 6. novembra noteikumos Nr. 744 "Noteikumi par koku un apaļo kokmateriālu uzskaiti"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koku un apaļo kokmateriālu uzskaiti darījumos</w:t>
      </w:r>
      <w:r w:rsidR="00000000" w:rsidRPr="00000000" w:rsidDel="00000000">
        <w:rPr>
          <w:rStyle w:val="paragraph"/>
          <w:i w:val="1"/>
          <w:rtl w:val="0"/>
        </w:rPr>
        <w:t xml:space="preserve">" </w:t>
      </w:r>
      <w:r>
        <w:br/>
      </w:r>
      <w:r w:rsidR="00000000" w:rsidRPr="00000000" w:rsidDel="00000000">
        <w:rPr>
          <w:rStyle w:val="paragraph"/>
          <w:i w:val="1"/>
          <w:rtl w:val="0"/>
        </w:rPr>
        <w:t xml:space="preserve">5.panta otro daļu, 6.panta trešo daļu un 10.pantu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2007. gada 6. novembra noteikumos Nr. 744 "Noteikumi par koku un apaļo kokmateriālu uzskaiti" (Latvijas Vēstnesis, 2007, 181. nr.; 2014, 42. nr.; 2020, 215.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Svītrot 8.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 9.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Pastāvīgajā uzglabāšanas vietā apaļos kokmateriālus uzskaita pēc to uzmērīšanas. Pamatojoties uz mērījumu, nosaka darījuma apjomu ar apaļajiem kokmateriāliem. Apaļo kokmateriālu uzmērīšana ir apaļo kokmateriālu tilpuma noteikšana pēc darījumā izmantotajiem apaļo kokmateriālu dimensiju un kvalitātes raksturlielumiem."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Ierakstus reģistrā izdara divu darbdienu laikā pēc apaļo kokmateriālu uzmērīšanas. Labojumu papīra formā kārtotā reģistrā izdara, svītrojot iepriekšējo ierakstu, uzrakstot uzmērīšanas datus un apliecinot labojumu ar parakstu. Elektroniskā formā kārtotā reģistrā labojumu izdara ar koriģējošu papildu ierakstu. Katra pārskata gada beigās reģistru slēdz pēc iespējas drīzāk, ievērojot Grāmatvedības likuma 13. panta pirmajā daļā paredzēto termiņu un nosacījumus. Reģistru slēdz, norādot kopējo ienākošās un izejošās apaļo kokmateriālu plūsmas apjomu un saimnieciskajai darbībai izmantoto kopējo apjomu. Papildus norāda uzmērīto un neuzmērīto kokmateriālu krājumus, tos pārnesot uz nākamā pārskata gada reģistru."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13.7.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 katra nosaukuma apaļo kokmateriālu apjoms (kubikmetros), kurš noteikts pēc darījumā izmantotajiem apaļo kokmateriālu dimensiju un kvalitātes raksturlielumiem un par kuru tiek maksāts;".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13.8.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"13.8. to apaļo kokmateriālu kopējais apjoms (kubikmetros), kuru garums izteikts atbilstoši Latvijas nacionālajam standartam LVS 82:2024 "Apaļo kokmateriālu uzmērīšana";".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Apaļo kokmateriālu apjoma noteikšanā atbilstoši darījumā izmantotajiem dimensiju un kvalitātes raksturlielumiem un rezultātu izteikšanā atbilstoši uzmērīšanas precizitātei izmanto Latvijas nacionālo standartu LVS 82:2024 "Apaļo kokmateriālu uzmērīšana"."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20.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Komersantam, kas darbojas koku un apaļo kokmateriālu uzmērīšanas jomā, civiltiesiskās atbildības apdrošināšanas līguma minimālā summa gadā ir 102 apdrošināšanas līguma noslēgšanas dienā Latvijā noteiktās minimālās mēneša darba algas."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21.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Akreditētam komersantam, kas darbojas koku un apaļo kokmateriālu uzmērīšanas jomā, ir pienākums apaļo kokmateriālu uzmērīšanas rezultātus padarīt pieejamus apaļo kokmateriālu piegādātājam un saņēmējam, ja vien puses nav vienojušās citādi."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Šo noteikumu 13.8. apakšpunktā un 18. punktā minētajos gadījumos Latvijas nacionālo standartu LVS 82:2020 "Apaļo kokmateriālu uzmērīšana" var piemērot līdz 2024. gada 31. decembrim."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Krauze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24-TA-483</w:t>
    </w:r>
    <w:r>
      <w:br/>
    </w:r>
    <w:r w:rsidR="00000000" w:rsidRPr="00000000" w:rsidDel="00000000">
      <w:rPr>
        <w:rtl w:val="0"/>
      </w:rPr>
      <w:t xml:space="preserve">Izdrukāts 29.07.2026. 21.22 - 1.0.VK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24-TA-483</w:t>
    </w:r>
    <w:r>
      <w:br/>
    </w:r>
    <w:r w:rsidR="00000000" w:rsidRPr="00000000" w:rsidDel="00000000">
      <w:rPr>
        <w:rtl w:val="0"/>
      </w:rPr>
      <w:t xml:space="preserve">Izdrukāts 29.07.2026. 21.22 - 1.0.VK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noteikumu_(grozījumu)_projekts_24-TA-483.docx</dc:title>
</cp:coreProperties>
</file>

<file path=docProps/custom.xml><?xml version="1.0" encoding="utf-8"?>
<Properties xmlns="http://schemas.openxmlformats.org/officeDocument/2006/custom-properties" xmlns:vt="http://schemas.openxmlformats.org/officeDocument/2006/docPropsVTypes"/>
</file>