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Noguldījumu garantiju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Noguldījumu garantiju likumā (Latvijas Vēstnesis, 2015, 118. nr.; 2018, 17. nr.; 2021, 110., 193. nr.; 2022, 69. nr.) šādus grozījumus:</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1. panta otrajā daļā vārdus “un ieguldījumu brokeru sabiedrībām” un vārdus “(Dokuments attiecas uz EEZ)”.</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Garantētā atlīdzība par kopīgo noguldījumu tiek izmaksāta katrai kopīgo noguldījumu izdarījušajai personai šā likuma 3. panta pirmajā daļā noteiktajā apmērā. Garantētās atlīdzības apmēru nosaka, ņemot vērā katras kopīgo noguldījumu izdarījušās personas daļu kopīgajā noguldījumā, kas noteikta ar noguldījumu piesaistītāju noslēgtajā līgumā. Ja katras personas daļa kopīgajā noguldījumā nav noteikta, kopīgais noguldījums sadalāms vienlīdzīgās daļās un garantētās atlīdzības apmēru nosaka, ņemot vērā šo noguldījuma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vārdiem “vai šo personu var identificēt pirms noguldījumu nepieejamības iestāšanās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Noguldījumu piesaistītājam pirms darījumu attiecību uzsākšanas ar noguldītāju ir pienākums noskaidrot, vai noguldītājs nodrošina citai personai pienākošos līdzekļu pārvaldību noguldījumu piesaistītājā.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Noguldījumu piesaistītājs veic nepieciešamās darbības, lai pirms darījumu attiecību uzsākšanas vai darījumu attiecību laikā no noguldītāja, kas nodrošina citai personai pienākošos līdzekļu pārvaldību noguldījumu piesaistītājā, iegūtu apliecinājumu, ka tas nodrošina šo personu identifikāciju un tām pienākošos līdzekļu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Ja noguldītājs nodrošina citai personai pienākošos līdzekļu pārvaldību noguldījumu piesaistītājā, noguldītājam ir pienākums nekavējoties par to informēt noguldījumu piesaistītāju, ja šāda informācija jau nav iesniegta noguldījumu piesaistītājam pirms darījumu attiecību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Noguldītājam ir pienākums pēc noguldījumu piesaistītāja pieprasījuma iesniegt dokumentus citas personas, kuras pienākošos līdzekļus noguldītājs pārvalda noguldījumu piesaistītājā, identificēšanai, un dokumentus par šai personai pienākošos līdzekļu summu.”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6. panta ceturtajā daļā vārdus “mājaslapā internetā” ar vārdu “tīmekļvietnē”.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“atļauju (licenci)” ar vārdiem “licenci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noguldījumu piesaistītājs saskaņā ar šā likuma 5. panta otro daļu nav identificējis vai nevar identificēt personu, kurai pienākošos līdzekļus pārvalda noguldītājs noguldījumu piesaistītājā, un nav nodrošinājis šo personu atspoguļošanu grāmatvedības reģistros, maksājumus noguldījumu garantiju fondā aprēķina, ņemot vērā attiecīgā konta atlikumu, kas atvērts tieši citas personas pienākošo naudas līdzekļu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Latvijas Banka, lai nodrošinātu finanšu sektora noturību, ņemot vērā ekonomikas cikla potenciālo negatīvo ietekmi uz finanšu stabilitāti un finanšu sektora attīstību, var palielināt šā panta trešajā daļā minēto ceturkšņa maksājumu noguldījumu garantiju fondā līdz 0,125 procentiem ceturksnī no segto noguldījumu vidējā atlikuma noguldījumu piesaistītājā iepriekšējā ceturksnī, kas reizināts ar Latvijas Bankas noteiktajā kārtībā aprēķināto korekcijas koeficientu, bet šā panta ceturtajā daļā minēto ceturkšņa maksājumu noguldījumu garantiju fondā – līdz 0,125 procentiem ceturksnī no filiāles piesaistīto segto noguldījumu vidējā atlikuma iepriekšējā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15. panta trešajā daļā un 15.</w:t>
      </w:r>
      <w:r w:rsidR="00000000" w:rsidRPr="00000000" w:rsidDel="00000000">
        <w:rPr>
          <w:vertAlign w:val="superscript"/>
          <w:rtl w:val="0"/>
        </w:rPr>
        <w:t xml:space="preserve">1</w:t>
      </w:r>
      <w:r w:rsidR="00000000" w:rsidRPr="00000000" w:rsidDel="00000000">
        <w:rPr>
          <w:rtl w:val="0"/>
        </w:rPr>
        <w:t xml:space="preserve"> pantā vārdu “mājaslapā” ar vārdu “tīmekļvietnē”.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nosaukumā pēc vārda </w:t>
      </w:r>
      <w:r w:rsidR="00000000" w:rsidRPr="00000000" w:rsidDel="00000000">
        <w:rPr>
          <w:b w:val="1"/>
          <w:rtl w:val="0"/>
        </w:rPr>
        <w:t xml:space="preserve">“atbilstīgajiem”</w:t>
      </w:r>
      <w:r w:rsidR="00000000" w:rsidRPr="00000000" w:rsidDel="00000000">
        <w:rPr>
          <w:rtl w:val="0"/>
        </w:rPr>
        <w:t xml:space="preserve"> ar vārdiem </w:t>
      </w:r>
      <w:r w:rsidR="00000000" w:rsidRPr="00000000" w:rsidDel="00000000">
        <w:rPr>
          <w:b w:val="1"/>
          <w:rtl w:val="0"/>
        </w:rPr>
        <w:t xml:space="preserve">“un segtajiem”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Noguldījumu piesaistītājs uz risku balstītā pieejā, bet ne retāk kā vienu reizi trijos gados, veic iekšējā audita pārbaudi par atbilstīgo un segto noguldījumu uzskaiti.”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vārdiem un skaitli “izņemot šā likuma 5. panta otrajā daļā minēto, pārvaldot citai personai pienākošos līdzekļus noguldījumu piesaistītājā”;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Noguldītājam, kas pārvalda citai personai pienākošos naudas līdzekļus noguldījumu piesaistītājā, ir pienākums pēc noguldījumu piesaistītāja noguldījumu nepieejamības iestāšanās iesniegt noguldījumu piesaistītājam vai Latvijas Bankai informāciju, kāda tā ir dienā, kad iestājusies noguldījumu piesaistītāja noguldījumu nepieejamība, šo personu  identificēšanai. Latvijas Banka ir tiesīga pieprasīt noguldītājam iesniegt zvērināta revidenta ziņojumu par šajā daļā minētās informācijas pārbaudi.”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21.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“labvēlīgāko un ekonomiskāko” ar vārdiem “ekonomiski izdevīgāko”;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Latvijas Bankas izdotā administratīvā akta par šā panta ceturtajā daļā minētā aizdevuma pieprasījumu apstrīdēšana un pārsūdzēšana neaptur tā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 punktā skaitli un vārdu "62. pantu" ar skaitļiem un vārdiem "51. un 62.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un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minētajos noguldījumos ir ietverti arī uzkrātie procenti, kas atbilstoši noslēgtā līguma nosacījumiem un termiņiem nav izmaksāti līdz dienai, kad iestājusies noguldījumu nepieejamība.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Izņēmumi garantētās atlīdzības izmaksai nav attiecināmi uz noguldījumu, ko veikusi tāda kredītiestāde, krājaizdevu sabiedrība, apdrošināšanas un pārapdrošināšanas sabiedrība, ieguldījumu brokeru sabiedrība, ieguldījumu pārvaldes sabiedrība, privāto pensiju fonds, alternatīvo ieguldījumu fondu pārvaldnieks un finanšu iestāde, kura pasludināta par maksātnespējīgu vai kuras darbība izbeigta ar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piektajā daļā pēc vārdiem “izraudzītu kredītiestāžu” ar vārdiem “vai maksājumu iestāžu”;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“mājaslapā internetā” ar vārdu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w:t>
      </w:r>
      <w:r w:rsidR="00000000" w:rsidRPr="00000000" w:rsidDel="00000000">
        <w:rPr>
          <w:vertAlign w:val="superscript"/>
          <w:rtl w:val="0"/>
        </w:rPr>
        <w:t xml:space="preserve">1</w:t>
      </w:r>
      <w:r w:rsidR="00000000" w:rsidRPr="00000000" w:rsidDel="00000000">
        <w:rPr>
          <w:rtl w:val="0"/>
        </w:rPr>
        <w:t xml:space="preserve"> daļā vārdus "Latvijas Bankas noteiktajā kārtībā un termiņā" ar vārdiem  "Latvijas Banka nosaka informāciju, kuru par garantētās atlīdzības izmaksas pieteikumiem iesniedz Latvijas Bankai, kā arī šādas informācijas apkopošanas un iesniegšanas kārtību un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6.</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Latvijā licencēta maksājumu iestāde vai elektroniskās naudas iestāde, vai dalībvalstī licencētas maksājumu iestādes vai elektroniskās naudas iestādes filiāle, kura veic darbību Latvijā, ir tiesīga nodrošināt saviem klientiem iespēju pieteikt garantētās atlīdzības izmaksu un saņemt garantēto atlīdzību, ja tā var nodrošināt garantētās atlīdzības ieskaitīšanu klienta kontā, izmantojot kredīta pārvedumu atbilstoši Eiropas Parlamenta un Padomes 2012. gada 4. marta regulai (ES) Nr. 260/2012, ar ko nosaka tehniskās un darbības prasības kredīta pārvedumiem un tiešā debeta maksājumiem </w:t>
      </w:r>
      <w:r w:rsidR="00000000" w:rsidRPr="00000000" w:rsidDel="00000000">
        <w:rPr>
          <w:i w:val="1"/>
          <w:rtl w:val="0"/>
        </w:rPr>
        <w:t xml:space="preserve">euro</w:t>
      </w:r>
      <w:r w:rsidR="00000000" w:rsidRPr="00000000" w:rsidDel="00000000">
        <w:rPr>
          <w:rtl w:val="0"/>
        </w:rPr>
        <w:t xml:space="preserve"> un groza regulu (EK) Nr. 924/2009, un Latvijas Bankas noteikto prasību, kārtības un termiņa ievērošanu informācijas par garantētās atlīdzības izmaksas pieteikumiem apkopošanai un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Aizstāt 27. panta pirmās daļas 1. punktā vārdu "izpildi" ar vārdu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28. panta 2.</w:t>
      </w:r>
      <w:r w:rsidR="00000000" w:rsidRPr="00000000" w:rsidDel="00000000">
        <w:rPr>
          <w:vertAlign w:val="superscript"/>
          <w:rtl w:val="0"/>
        </w:rPr>
        <w:t xml:space="preserve">1</w:t>
      </w:r>
      <w:r w:rsidR="00000000" w:rsidRPr="00000000" w:rsidDel="00000000">
        <w:rPr>
          <w:rtl w:val="0"/>
        </w:rPr>
        <w:t xml:space="preserve">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“Noguldījumu piesaistītājs, atsaucoties uz šā panta otrajā daļā minētajā veidlapā iekļauto informāciju, sniedz noguldītājam apstiprinājumu par tā tiesībām uz garantēto atlīdzību, nolūkā informēt, ka noguldījums ir atbilstīgs noguldījums vai nav atbilstīgs noguldījums.”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31.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visā pantā vārdu “sūdzība” (attiecīgā skaitlī un locījumā) ar vārdu “iesniegums” (attiecīgā skaitlī un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pēc vārda “termiņiem” ar vārdiem “vai iesniegumus, kas saistīti ar personas tiesībām saņemt garantēto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izskatot šā panta pirmajā daļā minētos iesniegumus, Latvijas Banka konstatē, ka iesniedzējam sagatavojama atbilde pēc būtības, nevis jāpieņem lēmums, un atbildes sniegšanai nepieciešams veikt papildu darbības informācijas iegūšanai un apstrādei, Latvijas Banka šīs darbības veic četru mēnešu laikā no iesnieguma saņemšanas dienas, ne vēlāk kā viena mēneša laikā no iesnieguma saņemšanas dienas iesniedzēju informējot par iesnieguma saņemšanu un veiktajām darbībām. Ja objektīvu iemeslu dēļ četru mēnešu termiņu nav iespējams ievērot, Latvijas Banka to var pagarināt līdz gadam,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33. panta trešajā daļā vārdus “mājaslapā internetā” ar vārdu “tīmekļvietnē”.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23-TA-2559</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23-TA-2559</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likumprojekts_(grozījumi)_23-TA-2559.docx</dc:title>
</cp:coreProperties>
</file>

<file path=docProps/custom.xml><?xml version="1.0" encoding="utf-8"?>
<Properties xmlns="http://schemas.openxmlformats.org/officeDocument/2006/custom-properties" xmlns:vt="http://schemas.openxmlformats.org/officeDocument/2006/docPropsVTypes"/>
</file>