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 Kredītiestāžu un ieguldījumu brokeru sabiedrību darbības atjaunošanas un noregulējuma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24-TA-2243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