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starpinstitucionālas darba grupas izveidi vienotas nacionāla līmeņa e-lietas koncepcijas un vienotas e-lietas arhitektūras īstenošanai un attīstībai, kā arī turpmākai e-lietas pārvaldības mehānisma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Procesu norises elektroniskā vidē valsts platformas likuma 11. panta sestās daļas 2. punktu izveidot starpinstitucionālu darba grupu mērķtiecīgai sadarbībai un koordinācijai, lai nodrošinātu vienotas nacionāla līmeņa e-lietas koncepcijas un vienotas e-lietas arhitektūras īstenošanu un attīstību, kā arī turpmāku e-lietas pārvaldības mehānisma īstenošanu (turpmāk – darba grupa).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grupā ir eksperts informācijas tehnoloģiju jautājumos no katras iestādes, kura organizē un vada pamatdarbības informācijas sistēmas darbību un kuras valsts informācijas sistēmas plāno izmantot e-lietas platformu e-lietas datu apmaiņai, kā arī Vides aizsardzības un reģionālās attīstības ministrijas eksperts informācijas tehnoloģiju jautājumos un Tiesu administrācijas eksperts datu aizsardzības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grupas vadītājs ir Tiesu administrācijas eksperts informācijas tehnoloģiju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grupas vadītājs organizē un vada darba grupas sēdes, kā arī katrā E-lietas uzraudzības padomes sēdē sniedz pārskatu par vienotas nacionāla līmeņa e-lietas koncepcijas, vienotas e-lietas arhitektūras un e-lietas ieviešanas rīcības plāna izpildes gaitu un rezultatīvajiem rādītājiem.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grupas vadītājam ir tiesības pieprasīt no darba grupā pārstāvētajām iestādēm informāciju jautājumos, kas saistīti ar e-lietas ieviešanu un funkcionēšanu.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Darba grupa, lai sasniegtu Procesu norises elektroniskā vidē valsts platformas likuma 11. panta sestās daļas 2. punktā noteikto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e-lietas ieviešanas rīcības plānu un citus dokumentus un, ja nepieciešams, aktualizē tos, norādot finansēšanas avotu;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izvērtē informāciju par pamatdarbības informācijas sistēmu lietotāju vajadzībām un iespējas  atbilstoši uzlabot e-lietas platformas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darba grupas kompetences jomā koordinē politikas plānošanas dokumentu un tiesību aktu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grupas kompetences ietvaros sagatavo priekšlikumus par valsts budžeta programmu un apakšprogrammu vai citu atbalsta instrumentu izstrādi, kā arī sniedz priekšlikumus par nepieciešamajām izmaiņām valsts budžeta programmu un apakšprogrammu finansēšanas plānos;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koordinē pamatdarbības informācijas sistēmu vai to valsts informācijas sistēmu pielāgošanu e-lietas darbībai, kas plāno izmantot e-lietas platformu, un sniedz atbalstu šo informācijas sistēmu pārziņiem;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 priekšlikumus un ieteikumus  pamatdarbības informācijas sistēmas pilnveidošanai, lai īstenotu vienotas nacionāla līmeņa e-lietas koncepcijas ieviešanu;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koordinē pamatdarbības informācijas sistēmu vai to valsts informācijas sistēmu datu apmaiņas servisu izstrādes principu un datu apmaiņas vienotu principu ieviešanu, kas plāno izmantot e-lietas platformu;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izstrādā vadlīnijas pamatdarbības informācijas sistēmu vai to valsts informācijas sistēmu sadarbspējai ar e-lietas platformu, kas plāno izmantot e-lietas platformu, kā arī drošības noteikumu vadlīnijas;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veic veiktspējas un drošības (arī infrastruktūras drošības) pazīmju izpēti un nosaka vienotas prasības pamatdarbības informācijas sistēmām un informācijas sistēmām, kas plāno izmantot e-lietas platformu.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Tiesu administrācija materiāltehniski nodrošina darba grupas darbu, veic sekretariāta funkcijas un Tiesu administrācijas tīmekļvietnē uztur aktuālo informāciju par darba grupas sastāvu.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22-TA-723</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22-TA-723</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rīkojuma_projekts_22-TA-723.docx</dc:title>
</cp:coreProperties>
</file>

<file path=docProps/custom.xml><?xml version="1.0" encoding="utf-8"?>
<Properties xmlns="http://schemas.openxmlformats.org/officeDocument/2006/custom-properties" xmlns:vt="http://schemas.openxmlformats.org/officeDocument/2006/docPropsVTypes"/>
</file>