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akcīzes nodokļa sertifikāta alkoholisko dzērienu patstāvīgajiem sīkražotājiem saņemšanai vai pārreģistrācijai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Nodokļu maksātājs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Nodokļu maksātāja reģistrācijas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Alkoholiskie dzērieni, par kuriem tiek pieprasīts akcīzes nodokļa sertifikāts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8"/>
        <w:gridCol w:w="3076"/>
        <w:gridCol w:w="2965"/>
        <w:tblGridChange w:id="0">
          <w:tblGrid>
            <w:gridCol w:w="3148"/>
            <w:gridCol w:w="3076"/>
            <w:gridCol w:w="29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Alkoholisko dzērienu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iepriekšējā kalendāra gadā saražotais apjoms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kārtējā kalendāra gadā plānotais ražošanas apjoms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raudzētie dzērieni, izņemot vīnu un alu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starpprodukti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alkoholiskie dzērieni (hl a/a)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Norāda, ja iepriekšējā kalendāra gadā ražoja attiecīgo alkoholiskā dzēriena veidu.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i w:val="1"/>
          <w:vertAlign w:val="superscript"/>
          <w:rtl w:val="0"/>
        </w:rPr>
        <w:t xml:space="preserve"> </w:t>
      </w:r>
      <w:r w:rsidR="00000000" w:rsidRPr="00000000" w:rsidDel="00000000">
        <w:rPr>
          <w:rtl w:val="0"/>
        </w:rPr>
        <w:t xml:space="preserve">Norāda, ja iepriekšējā kalendāra gadā neražoja attiecīgo alkoholiskā dzēriena veidu.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iesniedzējam nepieder 10 procentu un vairāk no cita nodokļu maksātāja, kas ražo tāda paša veida alkoholiskos dzērienus,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citam nodokļu maksātājam tieši nepieder 10 procentu un vairāk no iesnieguma iesniedzēja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iesniedzējs nav franšīzes ņēmējs, kas ražo alkoholiskos dzērienus, pamatojoties uz franšīzes līgumu, ar kuru saskaņā franšīzes devējs par tiešu vai netiešu finansiālu atlīdzību ir nodevis otrai līgumslēdzējpusei – franšīzes ņēmējam – tiesības izmantot intelektuālā īpašuma tiesību kopumu (īpaši – firmu, preču zīmi, veikala izkārtni, dizaina objektu, speciālo profesionālo informāciju, zinātību un patentus) preču izmantošanai vai pārdošanai;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iesnieguma iesniedzējs, tā dibinātājs vai izpildinstitūcijas loceklis nav cita attiecīgo alkoholisko dzērienu ražotāja dibinātājs vai neieņem pie tā izpildinstitūcijas locekļa amatu;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iesnieguma iesniedzējs neizmanto telpas, kuras izmanto cits attiecīgā alkoholiskā dzēriena ražotājs.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25-TA-1148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25-TA-1148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noteikumu_konsolidētā_versija_p_25-TA-1148.docx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