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17. decembrī (prot. Nr. 53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28. oktobra noteikumos Nr. 665 "Noteikumi par pieteikumu veidlapām ierakstiem komercķīlu reģistrā un to aizpildīšanas kārtību"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Komercķīlas likuma</w:t>
      </w:r>
      <w:r w:rsidR="00000000" w:rsidRPr="00000000" w:rsidDel="00000000">
        <w:rPr>
          <w:rStyle w:val="paragraph"/>
          <w:i w:val="1"/>
          <w:rtl w:val="0"/>
        </w:rPr>
        <w:t xml:space="preserve"> 11.pantu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28. oktobra noteikumos Nr. 665 "Noteikumi par pieteikumu veidlapām ierakstiem komercķīlu reģistrā un to aizpildīšanas kārtību" (Latvijas Vēstnesis, 2014, 220.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pielikumu jaunā redakcijā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pielikumu jaunā redakcijā (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pielikumu jaunā redakcijā 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ministres vietā -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24-TA-2484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24-TA-2484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noteikumu_(grozījumu)_projekts_24-TA-2484.docx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