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svaigpienam, pienam un piena produktiem, liellopu gaļai, cūkgaļai, kazu, aitu un trušu gaļai un tās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Prasības dzīvnieku turēšanai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Dzīvniekus nodrošina ar pilnvērtīgu, vecumam, sugai un produktivitātes virzienam atbilstošu barību. Kontroli veic dienests saskaņā ar šo noteikumu  </w:t>
      </w:r>
      <w:r w:rsidR="00000000" w:rsidRPr="00000000" w:rsidDel="00000000">
        <w:rPr>
          <w:rtl w:val="0"/>
        </w:rPr>
        <w:t xml:space="preserve">22.</w:t>
      </w:r>
      <w:r w:rsidR="00000000" w:rsidRPr="00000000" w:rsidDel="00000000">
        <w:rPr>
          <w:rtl w:val="0"/>
        </w:rPr>
        <w:t xml:space="preserve"> punkta prasībām, ja produktu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</w:t>
      </w:r>
      <w:r w:rsidR="00000000" w:rsidRPr="00000000" w:rsidDel="00000000">
        <w:rPr>
          <w:rtl w:val="0"/>
        </w:rPr>
        <w:t xml:space="preserve"> II nodaļā minēto shēmas norādi.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Prasības svaigpienam, pienam un piena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Svaigpiena kvalitātes kontroli veic operators vismaz reizi mēnesī. Svaigpiens atbilst šādām prasībām: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govs svaigpiena sasalšanas temperatūra nepārsniedz –0,520 °C;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kazas svaigpiena sasalšanas temperatūra nepārsniedz –0,540 °C;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govs svaigpiena skābums 15 līdz 18 °T;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kazas svaigpiena skābums 14 līdz 18 °T.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Piena pārstrādes procesā ražotu produktu (turpmāk – piena produkti) sastāvā aizliegts izmantot augu izcelsmes eļļas un taukus, daļēji vai pilnīgi aizstājot piena taukus piena produktos. Operators produkta ražošanas procesu un tajā izmantotās izejvielas norāda tehniskajā specifikācijā.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Siera ražošanā aizliegts izmantot nitrātus (NaNO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vai KNO</w:t>
      </w:r>
      <w:r w:rsidR="00000000" w:rsidRPr="00000000" w:rsidDel="00000000">
        <w:rPr>
          <w:vertAlign w:val="sub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), lai nomāktu gāzes radošo mikroorganismu attīstību.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Pienu un piena produktus novērtē sensori atbilstoši standartam LVS ISO 22935-3:2024 “Piens un piena produkti. Sensorā analīze. 3.daļa: Produkta sensoro īpašību atbilstības specifikācijai novērtēšana ar punktu metodi”. Vērtē šādus rādītājus: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ārējo izskatu (tajā skaitā ūdens dispersijas pakāpi sviestam pēc  LVS 356:2002);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konsistenci;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garšu un smaržu;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izskatu griezumā – sieram.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Piena un piena produktu laboratoriskos izmeklējumus, lai noteiktu atbilstību  nekaitīguma kritērijiem atbilstoši Komisijas 2005. gada 15. novembra Regulas (EK) Nr. </w:t>
      </w:r>
      <w:r w:rsidR="00000000" w:rsidRPr="00000000" w:rsidDel="00000000">
        <w:rPr>
          <w:rtl w:val="0"/>
        </w:rPr>
        <w:t xml:space="preserve">2073/2005</w:t>
      </w:r>
      <w:r w:rsidR="00000000" w:rsidRPr="00000000" w:rsidDel="00000000">
        <w:rPr>
          <w:rtl w:val="0"/>
        </w:rPr>
        <w:t xml:space="preserve"> par pārtikas produktu mikrobioloģiskajiem kritērijiem (turpmāk – regula Nr. </w:t>
      </w:r>
      <w:r w:rsidR="00000000" w:rsidRPr="00000000" w:rsidDel="00000000">
        <w:rPr>
          <w:rtl w:val="0"/>
        </w:rPr>
        <w:t xml:space="preserve">2073/2005</w:t>
      </w:r>
      <w:r w:rsidR="00000000" w:rsidRPr="00000000" w:rsidDel="00000000">
        <w:rPr>
          <w:rtl w:val="0"/>
        </w:rPr>
        <w:t xml:space="preserve">) I pielikumā noteiktajiem kritērijiem, katram sertificētajam produkcijas veidam veic akreditētā testēšanas laboratorijā ne retāk kā reizi gadā.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 Prasības liellopu, cūku, kazu, aitu un trušu liemeņiem, sadalītajai gaļai un subproduktiem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Liellopu, kazu, aitu, cūku un trušu pārvadāšanas ilgums līdz kautuvei nepārsniedz sešas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Liemeņus un attiecīgo dzīvnieku subproduktus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rtl w:val="0"/>
        </w:rPr>
        <w:t xml:space="preserve">II nodaļā minēto norādi, ja dzīvnieki kaušanas brīdī nav vecāki par: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 30 mēnešiem –  liellopi;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trim mēnešiem – truši.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Liellopu liemeni un sadalīto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</w:t>
      </w:r>
      <w:r w:rsidR="00000000" w:rsidRPr="00000000" w:rsidDel="00000000">
        <w:rPr>
          <w:rtl w:val="0"/>
        </w:rPr>
        <w:t xml:space="preserve"> II nodaļā minēto norādi, ja liemenis saskaņā ar normatīvajiem aktiem par dzīvnieku liemeņu klasifikāciju atbilst: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pēc uzbūves jeb muskuļaudu novērtējuma – E, U, R vai O klasei;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pēc taukaudu slāņa pakāpes – 1..–3. klasei.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Cūkas liemeni un sadalītu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</w:t>
      </w:r>
      <w:r w:rsidR="00000000" w:rsidRPr="00000000" w:rsidDel="00000000">
        <w:rPr>
          <w:rtl w:val="0"/>
        </w:rPr>
        <w:t xml:space="preserve"> II nodaļā minēto norādi, ja saskaņā ar normatīvajiem aktiem par dzīvnieku liemeņu klasifikāciju cūka pēc muskuļaudu daudzuma atbilst S vai E klasei vai operators ir norādījis tās atbilstību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 nobarojamā cūka (kaušanas vecums pieci līdz septiņi mēneši) un dzīvnieka kārta. Kautuves īpašnieks vai viņa pilnvarotā persona (turpmāk – kautuves pārstāvis) to norāda pavaddokumentā dzīvnieku pārvietošanai uz kautuvi, izmantojot elektroniskās paziņošanas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 dzīvnieka kautsvars ir 70–92 kg. Kautuves pārstāvis to norāda informācijā par kautuvē nokauto lauksaimniecības dzīvnieku, izmantojot elektroniskās paziņošanas sistēmu;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 vīriešu kārtas dzīvniekiem nav veikta kastrācija, izmantojot imunovakcināciju – kastrāciju ar veterinārajām zālēm, kas satur vielas ar hormonālu iedarbību. Kautuves pārstāvis to norāda pavaddokumentā dzīvnieku pārvietošanai uz kautuvi, izmantojot elektroniskās paziņošanas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Liemeni un sadalītu gaļu marķē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pielikuma</w:t>
      </w:r>
      <w:r w:rsidR="00000000" w:rsidRPr="00000000" w:rsidDel="00000000">
        <w:rPr>
          <w:rtl w:val="0"/>
        </w:rPr>
        <w:t xml:space="preserve"> III nodaļā minēto norādi, ja dzīvnieks audzēts vienā Eiropas Savienības dalībvalstī vai reģionā, bet kauts un sadalīts citā Eiropas Savienības dalībvalstī vai reģionā un dzīvnieka liemenis atbilst: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šā pielikuma 9.1. un 9.2. apakšpunktā minētajām prasībām – liellops;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S vai E klasei pēc muskuļaudu daudzuma saskaņā ar normatīvajiem aktiem par dzīvnieku liemeņu klasifikāciju – cūka.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Liemeņu marķēšanā izmanto zīmogu ar šo noteikumu 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pielikumā</w:t>
      </w:r>
      <w:r w:rsidR="00000000" w:rsidRPr="00000000" w:rsidDel="00000000">
        <w:rPr>
          <w:rtl w:val="0"/>
        </w:rPr>
        <w:t xml:space="preserve"> minēto norādi.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Pirms realizācijas no kautuves liemeņu dziļajā muskulatūrā pH līmenis ir 5,4–5,8.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Liellopu liemeņus nav atļauts apstrādāt ar pienskābi.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Subprodukti iegūti no dzīvniekiem, kuri atbilst šā pielikuma III</w:t>
      </w:r>
      <w:r w:rsidR="00000000" w:rsidRPr="00000000" w:rsidDel="00000000">
        <w:rPr>
          <w:vertAlign w:val="super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nodaļā minētajām 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 Prasības liellopu, cūku, kazu, aitu un trušu maltajai gaļai, gaļas izstrādājumiem un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Liellopu, kazu, aitu, cūku un trušu gaļas produktu un gaļas izstrādājumu ražošanā aizliegts izmantot: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16.1. saldētu un atkausētu gaļu (izņemot gadījumu, ja desu ražošanas tehnoloģiskais process paredz gaļu sasaldēt ražošanas vietā līdz –18 °C);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16.2. mehāniski atdalītu gaļu;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16.3. augu izcelsmes un hidrolizētas dzīvnieku izcelsmes olbaltumvielas;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16.4. tauku, ādu un cīpslu emulsiju;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16.5. pārtikas piedevas uzglabāšanas laika pagarināšanai, ārējā izskata uzlabošanai, garšas un smaržas pastiprināšanai (E620 līdz E640) un vēlamo struktūras īpašību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Maltās gaļas un tādu gaļas izstrādājumu ražošanā, kuri nav paredzēti lietošanai pārtikā bez termiskās apstrādes, nedrīkst izmantot gaļas atgriezumus.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Gaļas sastāvā esošo tauku un saistaudu saturs nepārsniedz Eiropas Parlamenta un Padomes 2011. gada 25. oktobra Regulas (ES) Nr. </w:t>
      </w:r>
      <w:r w:rsidR="00000000" w:rsidRPr="00000000" w:rsidDel="00000000">
        <w:rPr>
          <w:rtl w:val="0"/>
        </w:rPr>
        <w:t xml:space="preserve">1169/2011</w:t>
      </w:r>
      <w:r w:rsidR="00000000" w:rsidRPr="00000000" w:rsidDel="00000000">
        <w:rPr>
          <w:rtl w:val="0"/>
        </w:rPr>
        <w:t xml:space="preserve"> par pārtikas produktu informācijas sniegšanu patērētājiem un par grozījumiem Eiropas Parlamenta un Padomes Regulās (EK) Nr. 1924/2006 un (EK) Nr. 1925/2006, un par Komisijas Direktīvas 87/250/EEK, Padomes Direktīvas 90/496/EEK, Komisijas Direktīvas 1999/10/EK, Eiropas Parlamenta un Padomes Direktīvas 2000/13/EK, Komisijas Direktīvu 2002/67/EK un 2008/5/EK un Komisijas Regulas (EK) Nr. 608/2004 atcelšanu (turpmāk – regula Nr. </w:t>
      </w:r>
      <w:r w:rsidR="00000000" w:rsidRPr="00000000" w:rsidDel="00000000">
        <w:rPr>
          <w:rtl w:val="0"/>
        </w:rPr>
        <w:t xml:space="preserve">1169/2011</w:t>
      </w:r>
      <w:r w:rsidR="00000000" w:rsidRPr="00000000" w:rsidDel="00000000">
        <w:rPr>
          <w:rtl w:val="0"/>
        </w:rPr>
        <w:t xml:space="preserve">) VII pielikuma B daļas 17. punktā noteikto daudzumu, ko operators reizi gadā nosaka akreditētā laboratorijā, un gaļas produkcijā – desās, konservos, gaļas izstrādājumos – ir vismaz 70 procentu gaļas bez ādas.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Pievienotais sāls saturs 100 g gaļas produktu un to izstrādājumu nepārsniedz 1,25 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Operators organizē darbu (piemēram, izveidojot degustācijas komisiju) tā, lai katrā partijā tiktu novērtētas gaļas produktu organoleptiskās īpašības un to rādītāji atbilst šā pielikuma 1. tabulā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Gaļas produktu organoleptiskie rādītāji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335"/>
        <w:gridCol w:w="1856"/>
        <w:gridCol w:w="4634"/>
        <w:tblGridChange w:id="0">
          <w:tblGrid>
            <w:gridCol w:w="514"/>
            <w:gridCol w:w="2335"/>
            <w:gridCol w:w="1856"/>
            <w:gridCol w:w="46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Raksturojums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kūpinājumi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 tīra, sausa, bez gaļas un speķa izrāvumiem, produkta masai nepiegulošiem audiem, vienmērīgi nokūpināta no gaiši brūnas līdz brūnai krāsai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izskats griezumā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muskuļaudi vienmērīga krāsojuma, bez pelēkiem plankumiem, taukaudi baltā krāsā vai ar sārtu nokrāsu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mēreni sāļa, raksturīga izmantotajām izejvielām, ar garšvielu un dūmu aromātu, bez neraksturīgas garšas un smakas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Vārītās desas, tostarp cīsiņi un sardeles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desu virsma tīra, apvalks nebojāts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elastīga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vāji sāļa ar izteiktu garšvielu aromātu un garšu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Pusžāvētās, auksti kūpinātās desas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ārējais 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desu virsma tīra un sausa, apvalks nebojāts, bez salipumiem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blīva, elastīga, bez redzamiem saistaudiem, speķis vienmērīgi izkliedēts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pildījuma masas izskats griezumā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pildījuma masa vienmērīgi sajaukta un satur attiecīga lieluma sasmalcinātus speķa gabaliņus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 un 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tauki balti vai ar sārtu nokrāsu, aromātiskā kūpinājuma un garšvielu smarža, garša mēreni sāļa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Mitruma saturs gatavajā produktā nepārsniedz: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21.1. vārītajās desās, tostarp cīsiņos un sardelēs, – 70 %;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21.2. pusžāvētajās desās – 65 %;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21.3. auksti kūpinātajās desās – 30 %;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21.4. liellopu un cūkgaļas produktos – 75 %.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Šā pielikuma 21.1., 21.2. un 21.3. apakšpunktā minētie produkti ir tikai dabīgā vai ēdamā kolagēna apvalkā vai bez apvalka. Ēdamais kolagēna apvalks nedrīkst saturēt pārtikas piedevas.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Gaļas produktu kūpināšanas procesā izmanto tikai lapu koku koksni, neizmantojot kūpināšanas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Kūpināto gaļu un kūpinātās gaļas produktus operators vismaz reizi gadā nodod pārbaudei akreditētā testēšanas laboratorijā. Pārbaudāmie rādītāji un to norma ir šāda: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24.1. kūpinātajā gaļā un kūpinātās gaļas produktos benzo(a)pirēna daudzums nepārsniedz 2 μg/kg, kā arī benzo(a)pirēna, benz(a)antracēna, benzo(b)fluorantēna un krizēna kopējais daudzums (PAO4) nepārsniedz 12 μg/kg;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24.2. tradicionāli kūpinātajā gaļā un kūpinātās gaļas produktos, kas ir kūpināti un paredzēti patēriņam Latvijā, benzo(a)pirēna daudzums nepārsniedz 5,0 μg/kg, kā arī benzo(a)pirēna, benzo(a)antracēna, benzo(b)fluorantēna un krizēna kopējais daudzums nepārsniedz 30,0 μg/kg.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Gaļas produkcijas laboratoriskos izmeklējumus, lai noteiktu atbilstību  nekaitīguma kritērijiem atbilstoši regulas Nr. </w:t>
      </w:r>
      <w:r w:rsidR="00000000" w:rsidRPr="00000000" w:rsidDel="00000000">
        <w:rPr>
          <w:rtl w:val="0"/>
        </w:rPr>
        <w:t xml:space="preserve">2073/2005</w:t>
      </w:r>
      <w:r w:rsidR="00000000" w:rsidRPr="00000000" w:rsidDel="00000000">
        <w:rPr>
          <w:rtl w:val="0"/>
        </w:rPr>
        <w:t xml:space="preserve"> I pielikumā noteiktajiem kritērijiem, katram sertificētajam produkcijas veidam veic akreditētā testēšanas laboratorijā ne retāk kā reizi gadā.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Gaļas konservus ražo atbilstoši starptautiskajam standartam CAC/RCP 23-1979 "Starptautiskais higiēnas prakses kodekss zema skābes satura un paskābinātiem pārtikas konserviem".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Gaļas konservu kvalitātes pārbaudi veic akreditētā testēšanas laboratorijā ne retāk kā reizi gadā, un to kvalitāte atbilst šā pielikuma 2. tabulā minētajiem rādītājiem.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Sterilizēto gaļas konservu kvalitātes rādītāji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856"/>
        <w:gridCol w:w="2622"/>
        <w:gridCol w:w="4347"/>
        <w:tblGridChange w:id="0">
          <w:tblGrid>
            <w:gridCol w:w="514"/>
            <w:gridCol w:w="1856"/>
            <w:gridCol w:w="2622"/>
            <w:gridCol w:w="4347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Pārbaudes posms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Sterilizēti konservi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sporas neveidojošie mikroorganismi, KVV/g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sporas veidojošie termofilie anaerobie, aerobie un fakultatīvi anaerobie mikroorganismi, KVV/g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Sterilizēto konservu organoleptiskie rādītāji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izskats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skaidri saskatāmi gaļas gabaliņi, bez nevēlamiem piemaisījumiem, raksturīgs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termiski apstrādātai gaļai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raksturīga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konsistence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raksturīga attiecīgajam produkta veidam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patīkama, raksturīga attiecīgajam produkta veidam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24-TA-1926</w:t>
    </w:r>
    <w:r>
      <w:br/>
    </w:r>
    <w:r w:rsidR="00000000" w:rsidRPr="00000000" w:rsidDel="00000000">
      <w:rPr>
        <w:rtl w:val="0"/>
      </w:rPr>
      <w:t xml:space="preserve">Izdrukāts 29.07.2026. 23.45 - 2.0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noteikumu_konsolidētā_versija_p6_24-TA-1926.docx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