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medum un biškopības produktiem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Bišu saimju turēšana, medus un biškopības produktu  ievākšana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Patstāvīgo vai pagaidu bišu turēšanas novietni novieto ne tuvāk kā trīs  kilometrus no atkritumu noglabāšanas poligoniem.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Bišu saimes apskates laikā izmanto dūmus, kas iegūti no koku gabaliņiem,  koku prauliem vai citiem dabiskiem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Vaska kodes apkarošanai izmanto organiskās skābes un ēteriskās eļļas, bet  ir aizliegta insekticīdu lietošana.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Ziedputekšņu uztvērēja kastītes iztukšo katru vakaru pirms rasas punkta  iestāšanās.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Aizliegts no medus atdalīt ziedputekšņus.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Propolisu pirmapstrādes laikā aizliegts karsēt un (vai) apstrādāt ar  karstu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Bišu māšu peru pieniņu iegūst no 84–96 stundu veciem bišu māšu cirmeņiem.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Medus un biškopības produktu kvalitātes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Operators katrai medus partijai noņem paraugu no fasēšanai sagatavotās  produkcijas un nodod to akreditētā laboratorijā medus kvalitātes rādītāju  noteikšanai. Ziedputekšņu saturu monoflorajam medum nosaka operators, nosūtot  paraugu uz laboratoriju ziedputekšņu analīzes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Medus un biškopības produkti atbilst šā pielikuma tabulā minētajiem  kvalitātes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Medus un biškopības produktu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389"/>
        <w:gridCol w:w="3868"/>
        <w:tblGridChange w:id="0">
          <w:tblGrid>
            <w:gridCol w:w="514"/>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 								p.k.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viršu, āboliņa medū  								– ne vairāk kā 21,5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veidu medū –  								ne vairāk kā 18,5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Saharoze,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Brīvās skābes,  								mmolekv/kg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Diastāze (amilāze)  								(pēc </w:t>
            </w:r>
            <w:r w:rsidR="00000000" w:rsidRPr="00000000" w:rsidDel="00000000">
              <w:rPr>
                <w:i w:val="1"/>
                <w:rtl w:val="0"/>
              </w:rPr>
              <w:t xml:space="preserve">Schade</w:t>
            </w:r>
            <w:r w:rsidR="00000000" w:rsidRPr="00000000" w:rsidDel="00000000">
              <w:rPr>
                <w:rtl w:val="0"/>
              </w:rPr>
              <w:t xml:space="preserve"> skalas)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Hidroksimetilfurfurols (HMF), mg/kg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Ziedputekšņu saturs,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viršu medū – vismaz  								40 % viršu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griķu medū – vismaz  								25 % griķu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liepziedu medū –  								vismaz 17 % liepu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rapšu medū – vismaz  								70 % rapšu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veidu  								monoflorajā medū – ne mazāk kā 45 % vienas  								floras ziedputekšņu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un saldēti ziedputekšņi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aveņu, krūkļu  								ziedputekšņos – ne vairāk kā 40,0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pārējos  								ziedputekšņos – ne vairāk kā 35,0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Kopējās skābes,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aveņu, krūkļu  								ziedputekšņiem 3,2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ziedputekšņiem ne mazāk kā:</w:t>
            </w:r>
            <w:r>
              <w:br/>
            </w:r>
            <w:r w:rsidR="00000000" w:rsidRPr="00000000" w:rsidDel="00000000">
              <w:rPr>
                <w:rtl w:val="0"/>
              </w:rPr>
              <w:t xml:space="preserve"> 								5,5 – maijā;</w:t>
            </w:r>
            <w:r>
              <w:br/>
            </w:r>
            <w:r w:rsidR="00000000" w:rsidRPr="00000000" w:rsidDel="00000000">
              <w:rPr>
                <w:rtl w:val="0"/>
              </w:rPr>
              <w:t xml:space="preserve"> 								5,0 – jūnijā;</w:t>
            </w:r>
            <w:r>
              <w:br/>
            </w:r>
            <w:r w:rsidR="00000000" w:rsidRPr="00000000" w:rsidDel="00000000">
              <w:rPr>
                <w:rtl w:val="0"/>
              </w:rPr>
              <w:t xml:space="preserve"> 								4,5 – jūlijā un augustā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Žāvēti  								ziedputekšņi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7,0–8,0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7,0–4,3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Kopējās skābes,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  								kvv/g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200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Bišu  								maize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10,0–14,0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zemāk par 3,8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kvv/g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Raugi, kvv/g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200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Propoliss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Vaska  								piemaisījums,%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30,0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Flavonoīdu un citu  								fenolsavienojumu masas daļa,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25,0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Bišu  								māšu peru pieniņš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3,7–4,2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daļa,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30,0–35,0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  								aktivitāte pēc māšu cirmeņa svara, audzējot bišu  								saimē,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180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noteikumu_konsolidētā_versija_p7_24-TA-1926.docx</dc:title>
</cp:coreProperties>
</file>

<file path=docProps/custom.xml><?xml version="1.0" encoding="utf-8"?>
<Properties xmlns="http://schemas.openxmlformats.org/officeDocument/2006/custom-properties" xmlns:vt="http://schemas.openxmlformats.org/officeDocument/2006/docPropsVTypes"/>
</file>