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28. oktobrī (prot. Nr. 45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 (Latvijas Vēstnesis, 2024, 229.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Katrā projektu iesniegumu atlases kārtā pašvaldība vai pašvaldības kapitālsabiedrība var iesniegt vienu vai vairākus projektu iesniegumus atbilstoši šo noteikumu 16. punktā noteiktajiem sabiedriskā transporta savienojumu punktu veidiem, ievērojot šo noteikumu 14.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Pasākuma pirmās atlases kārtas ietvaros tiek vērtēti augstas gatavības projekti, ievērojot,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par projektā plānotajām darbībām, kuras kvalificējamas kā komercdarbības atbalsts atbilstoši 2014. gada 17. jūnija Komisijas Regulas Nr. 651/2014, ar ko noteiktas atbalsta kategorijas atzīst par saderīgām ar iekšējo tirgu, piemērojot Līguma 107. un 108. pantu (turpmāk – regula Nr.  651/2014), 36.a panta 3. punkta un regulas Nr. 651/2014 48. panta nosacījumiem, ir noslēgusies būvdarbu iepirkuma procedūra, ir publicēts paziņojums par līguma slēgšanas tiesību piešķiršanu un no iepirkuma dokumentācijas (nolikums, būvdarbu līguma paraugs) var izsecināt, ka plānotais būvdarbu pabeigšanas termiņš ir līdz 2026. gada 30. jūnijam, kā arī ir sniegts detalizēts plānoto darbību apraksts, to uzraudzības apraksts, risku un to preventīvo pasākumu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par projektā plānotajām darbībām, kuras nav kvalificējamas kā komercdarbības atbalsts, ir noslēgts būvniecības līgums, kurā noteikts, ka būvdarbi jāpabeidz līdz 2026. gada 30. jūnijam, tai skaitā izbūvētā vai pārbūvētā infrastruktūra ir nodota ekspluatācijā, ko apliecina pieņemšanas un nodošanas 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Projekta iesniedzēja tiesības veikt ieguldījumus nekustamajā īpašumā nostiprina zemesgrāmatā līdz projekta noslēguma maksājuma veikšanai, izņemot šādus gadījumus: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valsts vai valsts kapitālsabiedrības nekustamais īpašums uz normatīvā akta, līguma vai attiecīga lēmuma pamata ir nodots projekta iesniedzējam – pašvaldībai vai pašvaldības kapitālsabiedrībai – pārvaldīšanā vai lietošanā vai noslēgts patapinājuma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pašvaldības nekustamais īpašums uz pašvaldības pilnvarojuma pamata ir nodots pašvaldības projekta iesniedzējam – kapitālsabiedrībai – ar projekta īstenošanu saistīto darbību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Projekta iesniedzējs atbilstoši sadarbības iestādes izstrādātajiem metodiskajiem norādījumiem veic izmaksu un ieguvumu analīzi (finanšu analīzi un ekonomisko analīzi), ja projektā paredzētas darbības, kurām piemērojami komercdarbības atbalsta nosacījumi, un projektiem, kuriem kopējās izmaksas pārsniedz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projekta iesniedzējs nav sabiedrisko ūdenssaimniecības pakalpojumu sniedzējs un projekta ietvaros plānotas šo noteikumu 27.15. apakšpunktā minētās izmaksas, projekta iesniedzējs projekta iesniegumam pievieno ar sabiedrisko ūdenssaimniecības pakalpojumu sniedzēju noslēgto līgumu,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konkrētus veicamos sabiedriskos ūdenssaimniecības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prasības sabiedrisko ūdenssaimniecības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līguma darbības laiku, kas nav īsāks par pieciem gadiem un nepārsniedz 10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sabiedrisko ūdenssaimniecības pakalpojumu sniegšanas teritoriju;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sabiedrisko ūdenssaimniecības pakalpojumu sniedzējam piešķirto ekskluzīvo vai īpašo tiesību būtību;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23.7. informāciju par iespēju saņemt atlīdzības (kompensācijas) maksājumus – investīcijas sabiedrisko ūdenssaimniecības pakalpojumu sniegšanas infrastruktūrā – un nosacījumus atlīdzības (kompensācijas) maksājumu aprēķināšanai, kontrolei un pārskatīšanai, kā arī pārmaksas novēršanai un atmaksāšanai;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23.8. 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2012/21/ES)."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šo noteikumu 27.15. apakšpunktā minētās darbības veic pašvaldības iestāde, kas ir sabiedrisko ūdenssaimniecības pakalpojumu sniedzēja, pašvaldības iestāde ievēro: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sabiedrisko ūdenssaimniecības pakalpojumu sniedzēja uzdevumus sabiedrisko ūdenssaimniecības pakalpojumu sniegšanā, tai skaitā sniedzamos sabiedrisko ūdenssaimniecības pakalpojumu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sabiedrisko ūdenssaimniecības pakalpojumu sniegšanas teritoriju;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pašvaldības domes noteikto maksu par sniegtajiem sabiedriskajiem ūdenssaimniecības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 prasības sabiedrisko ūdenssaimniecības pakalpojumu sniedzējam uzturēt un atjaunot nepieciešamo tehnisko aprīkojumu, lai sabiedriskos ūdenssaimniecības pakalpojumus varētu sniegt atbilstoši katram pakalpojuma veidam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 sabiedrisko ūdenssaimniecības pakalpojumu sniegšanas laiku, kas nav īsāks par pieciem gadiem un nepārsniedz 10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6. sabiedrisko ūdenssaimniecības pakalpojumu sniedzējam piešķirto ekskluzīvo vai īpašo tiesību būtību, tai skaitā norādot atbilstošo pašvaldības administratīvo teritoriju vai pašvaldības administratīvās teritorijas daļu un konkrētos sniedzamos sabiedriskos ūdenssaimniecības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7. informāciju par iespēju saņemt atlīdzības (kompensācijas) maksājumus – investīcijas sabiedrisko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Ja sabiedrisko ūdenssaimniecības pakalpojumu sniedzējs ir pašvaldība, tā kā projekta iesniedzējs: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1. nosaka konkrētus veicamos sabiedriskos ūdenssaimniecības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2. nosaka sabiedrisko ūdenssaimniecības pakalpojumu sniegšanas teritoriju;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3. nosaka maksu par sabiedriskajiem ūdenssaimniecības pakalpojumiem, tai skaitā nepieciešamo infrastruktūru;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4. nosaka sabiedrisko ūdenssaimniecības pakalpojumu sniegšanas laiku, kas nav īsāks par pieciem gadiem un nepārsniedz 10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5. iekļauj atsauci uz Eiropas Komisijas lēmumu Nr. 2012/21/ES."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24.1.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24.3.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24.4.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w:t>
      </w:r>
      <w:r w:rsidR="00000000" w:rsidRPr="00000000" w:rsidDel="00000000">
        <w:rPr>
          <w:i w:val="1"/>
          <w:rtl w:val="0"/>
        </w:rPr>
        <w:t xml:space="preserve">de minimis </w:t>
      </w:r>
      <w:r w:rsidR="00000000" w:rsidRPr="00000000" w:rsidDel="00000000">
        <w:rPr>
          <w:rtl w:val="0"/>
        </w:rPr>
        <w:t xml:space="preserve">atbalsta uzskaites sistēmā (turpmāk – sistēma) sagatavotās veidlapas izdruku par sniedzamo informāciju </w:t>
      </w:r>
      <w:r w:rsidR="00000000" w:rsidRPr="00000000" w:rsidDel="00000000">
        <w:rPr>
          <w:i w:val="1"/>
          <w:rtl w:val="0"/>
        </w:rPr>
        <w:t xml:space="preserve">de minimis </w:t>
      </w:r>
      <w:r w:rsidR="00000000" w:rsidRPr="00000000" w:rsidDel="00000000">
        <w:rPr>
          <w:rtl w:val="0"/>
        </w:rPr>
        <w:t xml:space="preserve">atbalsta uzskaitei un piešķiršanai vai projekta iesniegumā norāda sistēmā aizpildītās veidlapas identifikācijas numuru komercdarbības atbalsta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24.5.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vertAlign w:val="superscript"/>
          <w:rtl w:val="0"/>
        </w:rPr>
        <w:t xml:space="preserve">1</w:t>
      </w:r>
      <w:r w:rsidR="00000000" w:rsidRPr="00000000" w:rsidDel="00000000">
        <w:rPr>
          <w:rtl w:val="0"/>
        </w:rPr>
        <w:t xml:space="preserve"> šo noteikumu 65. punktā paredzētās komercdarbības atbalsta kumulācijas gadījumā sadarbības iestādei iesniedz arī informāciju par piešķirto atbalstu par tām pašām attiecināmajām izmaksām, norādot atbalsta piešķiršanas datumu (tai skaitā plānoto atbalsta piešķiršanas datumu), atbalsta sniedzēju, atbalsta pasākumu un plānoto vai piešķirto atbalsta summu un intensitāti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valsts akciju sabiedrības "Latvijas dzelzceļš" apliecinājumu par paaugstināta perona izbūvi (ja attiecināms), ja projekta ietvaros paredzēta šo noteikumu 16.1. un 16.2. apakšpunktā minēto sabiedriskā transporta savienojumu punktu izbūve;".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šo noteikumu 23.</w:t>
      </w:r>
      <w:r w:rsidR="00000000" w:rsidRPr="00000000" w:rsidDel="00000000">
        <w:rPr>
          <w:vertAlign w:val="superscript"/>
          <w:rtl w:val="0"/>
        </w:rPr>
        <w:t xml:space="preserve">1</w:t>
      </w:r>
      <w:r w:rsidR="00000000" w:rsidRPr="00000000" w:rsidDel="00000000">
        <w:rPr>
          <w:rtl w:val="0"/>
        </w:rPr>
        <w:t xml:space="preserve">un 23.</w:t>
      </w:r>
      <w:r w:rsidR="00000000" w:rsidRPr="00000000" w:rsidDel="00000000">
        <w:rPr>
          <w:vertAlign w:val="superscript"/>
          <w:rtl w:val="0"/>
        </w:rPr>
        <w:t xml:space="preserve">2</w:t>
      </w:r>
      <w:r w:rsidR="00000000" w:rsidRPr="00000000" w:rsidDel="00000000">
        <w:rPr>
          <w:rtl w:val="0"/>
        </w:rPr>
        <w:t xml:space="preserve"> punktā minētos dokumentus par sabiedrisko ūdenssaimniecības pakalpojumu sniegšanu (ja attiecināms) atbilstoši šo noteikumu 23.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 apliecinājumu brīvā formā, ka sabiedrisko ūdenssaimniecības pakalpojumu sniedzējs kārto atsevišķu grāmatvedības uzskaiti katram sabiedriskā pakalpojuma veidam un minētā uzskaite kopējā grāmatvedības uzskaitē ir nodalīta no citiem saimnieciskās darbības veidiem, vai arī sabiedrisko pakalpojumu sniedzēja grāmatvedības kontu plānu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24.11.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 ielu, ceļu, funkcionālo savienojumu un ar tiem saistītās infrastruktūras izbūves, pārbūves vai atjaunošanas izmaksas projekta iesniegumā noteiktajā projekta īstenošanas teritorijā. Funkcionālais savienojums ir ielas vai ceļa posms, kas nepārsniedz divus kilometrus līdz projekta īstenošanas teritorijai. Funkcionālā savienojuma izmaksas ir attiecināmas arī tad, ja starp projekta iesniedzēja noteikto projekta īstenošanas teritoriju un funkcionālo savienojumu ir ielas vai ceļa posms, kas nav garāks par 600 metriem, izņemot gadījumu, ja funkcionālais savienojums ir vienīgā alternatīva nokļūšanai no projekta iesniedzēja noteiktās projekta īstenošanas teritorijas līdz publisko ceļu tīklam vai funkcionālais savienojums ir turpinājums tās pašas ielas vai tā paša ceļa posmam, kas nav garāks par 600 metriem nacionālas un reģionālas nozīmes attīstības centros (pilsētās) un 1500 metriem novadu teritorijā ārpus nacionālas un reģionālas nozīmes attīstības centriem: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27.8.1. ielu un ceļu (tai skaitā ar grants segumu, ja būvē jaunu ceļu, caurteku) infrastruktūras attīstība un ar to saistītās infrastruktūras (piemēram, stāvlaukumi, pieturvietas) būvniecība, pārbūve vai atjaunošana;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27.8.2. ielu un ceļu apgaismojuma infrastruktūras izbūve vai esošās apgaismojuma sistēmas renovācija, izmantojot gaismas diožu spuldzes jeb diodes (LED) kā gaismas avotu (tai skaitā apgaismojuma sistēmai nepieciešamā elektrotīkla izbūve vai pārbūve), un vājstrāvas tīklu izbūve vai pārbūve, kas nepieciešama sabiedrības drošībai projekta ietvaros attīstītajā ielas vai ceļa posmā (kas ir publiski pieejams), tai skaitā videonovērošanas kameru iegāde un uzstādīšana;".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27.8.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w:t>
      </w:r>
      <w:r w:rsidR="00000000" w:rsidRPr="00000000" w:rsidDel="00000000">
        <w:rPr>
          <w:vertAlign w:val="superscript"/>
          <w:rtl w:val="0"/>
        </w:rPr>
        <w:t xml:space="preserve">1</w:t>
      </w:r>
      <w:r w:rsidR="00000000" w:rsidRPr="00000000" w:rsidDel="00000000">
        <w:rPr>
          <w:rtl w:val="0"/>
        </w:rPr>
        <w:t xml:space="preserve"> velosipēdu un gājēju ceļu funkcionālo savienojumu izbūves, pārbūves vai atjaunošanas izmaksas, kas nepārsniedz četrus kilometrus no projekta īstenošanas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27.10.</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"27.10.</w:t>
      </w:r>
      <w:r w:rsidR="00000000" w:rsidRPr="00000000" w:rsidDel="00000000">
        <w:rPr>
          <w:vertAlign w:val="superscript"/>
          <w:rtl w:val="0"/>
        </w:rPr>
        <w:t xml:space="preserve">1</w:t>
      </w:r>
      <w:r w:rsidR="00000000" w:rsidRPr="00000000" w:rsidDel="00000000">
        <w:rPr>
          <w:rtl w:val="0"/>
        </w:rPr>
        <w:t xml:space="preserve"> publisko labierīcību ierīkošanas izmaksas ēkās vai sanitāro moduļu ierīkošanas izmaksas sabiedriskā transporta savienojumu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"27.15. ūdensapgādes, notekūdeņu savākšanas un novadīšanas infrastruktūras ierīkošanas izmaksas sabiedriskā transporta savienojumu punktos, ievērojot šo noteikumu 23.</w:t>
      </w:r>
      <w:r w:rsidR="00000000" w:rsidRPr="00000000" w:rsidDel="00000000">
        <w:rPr>
          <w:vertAlign w:val="superscript"/>
          <w:rtl w:val="0"/>
        </w:rPr>
        <w:t xml:space="preserve">1</w:t>
      </w:r>
      <w:r w:rsidR="00000000" w:rsidRPr="00000000" w:rsidDel="00000000">
        <w:rPr>
          <w:rtl w:val="0"/>
        </w:rPr>
        <w:t xml:space="preserve"> un 23.</w:t>
      </w:r>
      <w:r w:rsidR="00000000" w:rsidRPr="00000000" w:rsidDel="00000000">
        <w:rPr>
          <w:vertAlign w:val="superscript"/>
          <w:rtl w:val="0"/>
        </w:rPr>
        <w:t xml:space="preserve">2</w:t>
      </w:r>
      <w:r w:rsidR="00000000" w:rsidRPr="00000000" w:rsidDel="00000000">
        <w:rPr>
          <w:rtl w:val="0"/>
        </w:rPr>
        <w:t xml:space="preserve"> punkta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komercdarbības atbalstu sniedz kā kompensāciju par sabiedriskajiem pakalpojumiem dažiem uzņēmumiem, kuriem uzticēts sniegt vispārējas tautsaimnieciskas nozīmes pakalpojumus (turpmāk –  VTN pakalpojums), komercdarbības atbalsta saņēmējs un VTN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2012/21/ES."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Finansējuma saņēmējs nodrošina, ka projekta ietvaros izbūvētā infrastruktūra ir finansējuma saņēmēja īpašumā vai valdījumā vismaz piecus gadus pēc noslēguma maksājuma vai komercdarbības atbalsta gadījumā – atbilstoši nosacījumiem, iesniedzot par to apliecinājumu saskaņā ar šo noteikumu 24.8. apakšpunktu. Projekta ietvaros izbūvētās publiskās infrastruktūras uzraudzība tiek veikta visā projekta amortizācijas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projekta amortizācijas periodā (projekta dzīves ciklā);".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52.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Komercdarbības atbalsts šo noteikumu 27.9. apakšpunktā minēto darbību īstenošanai tiek piemērots saskaņā ar regulas Nr. 651/2014 48. pantu,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projekta iesniedzējs ievēro regulas Nr. 651/2014 48. panta 2.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 atbalsts netiek sniegts regulas Nr.  651/2014 48. panta 3. punktā minētajiem elektroenerģijas akumulēšanas un gāzes krātuvju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56.3. atbalsts netiek sniegts regulas Nr. 651/2014 48. panta 4. punktā minētajai gāzes infrastruktūrai;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56.4. atbilstoši regulas Nr. 651/2014 48. panta 5. punktam attiecināmās izmaksas ir kopējās ieguldījumu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komercdarbības atbalstu nepiešķir regulas Nr. 651/2014 1. panta 2. punktā minētajām darbībām un darbībām 1. panta 3. punktā minētajās nozarēs. Ja finansējuma saņēmējs darbojas arī regulas Nr. 651/2014 1. panta 3. punkta "a", "b" vai "c" apakšpunktā minētajās nozarēs, finansējuma saņēmējs nodrošina izmaksu un darbību nošķiršanu, lai darbības izslēgtajās nozarēs negūst labumu no atbalsta, kas piešķirts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komercdarbības atbalsts netiek sniegts projekta iesnedzējam, uz kuru attiecas līdzekļu atgūšanas rīkojums saskaņā ar regulas Nr. 651/2014 1. panta 4. punktu, izvērtējot projekta iesniedzēju uzņēmuma grupas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projekta iesniedzējam piešķiramais atbalsts nepārsniedz regulas Nr. 651/2014 4. panta 1. punkta "s b" apakšpunktā noteikto apmēru, ņemot vērā, ka projekta iesniedzējs tiks vērtēts uzņēmuma grupas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Atbalsta intensitāte šo noteikumu 27.9. apakšpunktā minētajām attiecināmajām izmaksām nepārsniedz 100 % no finansējuma deficīta saskaņā ar regulas Nr. 651/2014 48. panta 6. punkta nosacījumiem. Atbalstu ierobežo līdz minimumam, kas nepieciešams atbalstāmā projekta vai darbības veikšanai, ņemot vērā regulas Nr. 651/2014  2. panta 118. punktā definēto finansējuma deficītu."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Komercdarbības atbalsts nav sniedzams, ja projekta iesniedzējs atbilst kādai no regulas Nr. 651/2014 2. panta 18. punktā minētajām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Šo noteikumu 27.1.1., 27.1.2., 27.1.3., 27.1.4. un 27.11. apakšpunktā minētās izmaksas ir attiecināmas, piemērojot </w:t>
      </w:r>
      <w:r w:rsidR="00000000" w:rsidRPr="00000000" w:rsidDel="00000000">
        <w:rPr>
          <w:i w:val="1"/>
          <w:rtl w:val="0"/>
        </w:rPr>
        <w:t xml:space="preserve">de minimis</w:t>
      </w:r>
      <w:r w:rsidR="00000000" w:rsidRPr="00000000" w:rsidDel="00000000">
        <w:rPr>
          <w:rtl w:val="0"/>
        </w:rPr>
        <w:t xml:space="preserve"> atbalsta nosacījumus, ja tās radušās pirms projekta iesnieguma iesniegšanas vadības informācijas sistēmā šo noteikumu 27.13. un 27.9. apakšpunktā minēto darbību īstenošanas nodrošināšanai un ir uzsāktas ne agrāk par šo noteikumu 30. punktā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65.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Šo noteikumu ietvaros piešķirto VTN pakalpojuma atbalstu var kumulēt ar citu komercdarbības atbalstu, izņemot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1. ja atbalsts attiecas arī uz tām pašām attiecināmajām izmaksām, kas daļēji vai pilnībā pārklājas, citas atbalsta programmas vai individuālā atbalsta projekta ietvaros, ja pēc atbalstu apvienošanas atbalsta vienībai vai izmaksu pozīcijai attiecīgā maksimālā atbalsta intensitāte nepārsniedz 100 %, kā arī tiek ievērots maksimālais iespējamais </w:t>
      </w:r>
      <w:r w:rsidR="00000000" w:rsidRPr="00000000" w:rsidDel="00000000">
        <w:rPr>
          <w:i w:val="1"/>
          <w:rtl w:val="0"/>
        </w:rPr>
        <w:t xml:space="preserve">de minimis</w:t>
      </w:r>
      <w:r w:rsidR="00000000" w:rsidRPr="00000000" w:rsidDel="00000000">
        <w:rPr>
          <w:rtl w:val="0"/>
        </w:rPr>
        <w:t xml:space="preserve">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2. ja atbalsts attiecas uz atšķirīgām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Finansējuma saņēmējs, kas ir pašvaldības kapitālsabiedrība, šo noteikumu 27.15. apakšpunktā minēto darbību gadījumā nodrošina, ka projekta ietvaros radītās infrastruktūras īpašumtiesības tiek nodotas pašvaldībai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1. šo noteikumu 23. punktā minētais līgums netiek pagarināts vai ar finansējuma saņēmēju netiek noslēgts jauns līgums par ūdensapgādes un notekūdeņu savākšanas un novadīšanas pakalpojumu 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2. šo noteikumu 23. punktā minētais līgums tiek izbeigts pirms tā darbības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3. iestājas finansējuma saņēmēja maksātnespēja vai likvidācija."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Finansējuma saņēmējs, kas ir pašvaldība, šo noteikumu 27.15. apakšpunktā minēto izmaksu gadījumā nodrošina, ka projekta ietvaros radītās infrastruktūras īpašumtiesības tiek nodotas VTN pakalpojuma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Ja tiek pārkāptas regulas Nr. 651/2014 prasības vai komercdarbības atbalsta piešķiršanas nosacījumi VTN pakalpojuma sniegšanai, finansējuma saņēmējs atmaksā sadarbības iestādei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25-TA-77</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25-TA-77</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noteikumu_(grozījumu)_projekts_25-TA-77.docx</dc:title>
</cp:coreProperties>
</file>

<file path=docProps/custom.xml><?xml version="1.0" encoding="utf-8"?>
<Properties xmlns="http://schemas.openxmlformats.org/officeDocument/2006/custom-properties" xmlns:vt="http://schemas.openxmlformats.org/officeDocument/2006/docPropsVTypes"/>
</file>