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2.2.1. specifiskā atbalsta mērķa "Veicināt ilgtspējīgu ūdenssaimniecību" 2.2.1.1. pasākuma "Notekūdeņu un to dūņu apsaimniekošanas sistēmas attīstība piesārņojuma samazināšanai" (turpmāk – pasākums) otro projektu iesniegumu atlases kārtu (turpmāk – otrā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otrajai kārtai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darbību un izmaksu attiecināmības nosacījumus, tostarp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mērķis ir sekmēt ūdenssaimniecības pakalpojumu efektivitāti, nodrošinot infrastruktūras darbības lietderību un mazinot antropogēno piesārņojumu, kā arī veicināt Eiropas Savienības direktīvu prasību izpildi ūdenssaimniecības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Otrās kārtas mērķgrupa ir Rīgas valstspilsētas pašvaldības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Otrās kārtas mērķteritorija ir aglomerācija ar cilvēkekvivalentu lielāku par 100 000 jeb Rīgas ūdenssaimniecības aglomerācija.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Otrās kārtas ietvaros sasniedzamie uzraudzības rādītāji un to vērtības, kas sasniedzamas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atbalstītie uzņēmumi (tai skaitā mikrouzņēmumi, mazie, vidējie un lielie uzņēmumi). Iznākuma rādītāja vērtība tiek sasniegta, ja otrās kārtas projekta ietvaros veikti ieguldījumi, nodrošinot atbalstu vienam uzņēmumam;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iedzīvotāji, kuriem uzlabota notekūdeņu attīrīšanas kvalitāte un efektivitāte. Rezultāta rādītāja vērtība tiek sasniegta, ja otrās kārtas projekta ietvaros veikti ieguldījumi, lai nodrošinātu, ka iedzīvotāju skaits, kuriem uzlabota notekūdeņu attīrīšanas efektivitāte, ir vismaz 613 637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rezultāta rādītāja vērtību uzskata par sasniegtu pēc noslēguma maksājuma veikšanas, aprēķinos izmantojot jaunākos projekta iesniedzējam pieejamos datus par iedzīvotāju skaitu, kuriem nodrošināti centralizētās notekūdeņu apsaimniekošanas sistēmas pakalpojumi, un demogrāfisko rādītāju izmaiņu ietekmi uz vērtības izmaiņām.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Otro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Otrās kārtas ietvaros atbildīgās iestādes funkcijas pilda Viedās administrācijas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Otrās kārtas ietvaros plānotais un pieejamais kopējais attiecināmais finansējums ir ne mazāks kā 44 619 272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22 309 636 </w:t>
      </w:r>
      <w:r w:rsidR="00000000" w:rsidRPr="00000000" w:rsidDel="00000000">
        <w:rPr>
          <w:i w:val="1"/>
          <w:rtl w:val="0"/>
        </w:rPr>
        <w:t xml:space="preserve">euro</w:t>
      </w:r>
      <w:r w:rsidR="00000000" w:rsidRPr="00000000" w:rsidDel="00000000">
        <w:rPr>
          <w:rtl w:val="0"/>
        </w:rPr>
        <w:t xml:space="preserve"> un privātais līdzfinansējums – ne mazāks kā 22 309 636</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Otrās kārtas ietvaros Eiropas Reģionālās attīstības fonda finansējuma atbalsta intensitāte projektā nepārsniedz 50 procentus no kopējām attiecināmajām izmaksām, un nacionālā līdzfinansējuma apmērs, ko veido privātais finansējums, ir vismaz 50 procenti no projekta kopējā attiecināmā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otrās kārtas ietvaros, kas pēc projekta iesnieguma apstiprināšanas kļūst par finansējuma saņēmēju, ir sabiedrisko ūdenssaimniecības pakalpojumu sniedzējs – SIA “Rīgas ūdens” –, kuram ar pašvaldību ir noslēgts pakalpojuma līgums par sabiedrisko ūdenssaimniecības pakalpojumu sniegšanu (turpmāk – pakalpojuma līgums).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Pakalpojuma līgumā norāda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ūdenssaimniecības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ūdenssaimniecības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ūdenssaimniecības pakalpojumu sniedzējam piešķirto ekskluzīvo vai īpašo tiesību būtību, tajā skaitā norādot atbilstošo pašvaldības administratīvo teritoriju vai pašvaldības administratīvās teritorijas daļu un konkrētos sniedzamos sabiedriskos ūdenssaimniecības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projekta iesniedzējam saņemt un funkcijas uzlicējam kontrolēt atlīdzības (kompensācijas) maksājumus – investīcijas sabiedrisko ūdenssaimniecības pakalpojumu sniegšanas infrastruktūrā – un nosacījumus atlīdzības (kompensācijas) maksājumu aprēķināšanai, kontrolei un pārskatīšanai, kā arī atlīdzības (kompensācijas) maksājumu pārmaksas novēršanai un atmaksāšanai. Līgumā iekļauj detalizētu pārkompensācijas kontroles mehānisma aprakstu;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Komercdarbības atbalstu sabiedrisko ūdenssaimniecības pakalpojumu sniedzējiem piešķir kā kompensāciju par sabiedriskajiem pakalpojumiem dažiem uzņēmumiem, kuriem uzticēts sniegt pakalpojumus ar vispārēju tautsaimniecisku nozīmi.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iesniedzējam kā grūtībās nonākušam uzņēmumam komercdarbības atbalsts netiek piešķirts, ja tas atbilst vismaz vienai no Komisijas 2014. gada 17. jūnija Regulas Nr. 651/2014, ar ko noteiktas atbalsta kategorijas atzīst par saderīgām ar iekšējo tirgu, piemērojot Līguma 107. un 108. pantu (Eiropas Savienības Oficiālais Vēstnesis, 2014. gada 26. jūnijs, Nr. L 187), 2. panta 18. punktā minētajām pazīmēm. Grūtībās nonākuša uzņēmuma pazīmes vērtē individuāli projekta iesniedzējam un tā saistīto personu grupai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Komercdarbības atbalsta saņēmējs un vispārējas tautsaimnieciskas nozīmes pakalpojuma pilnvarojuma uzlicējs nodrošina, ka pilnvarojuma periodā un vismaz 10 gadus pēc pilnvarojuma perioda beigām tiek saglabāta un nodrošināta pieejamība projekta izmaksas pamatojošajiem dokumentiem, visai ar projektu saistītajai dokumentācijai un visai nepieciešamajai informācijai, lai noteiktu, vai piešķirtais atbalsts ir atbilstošs komercdarbības atbalsta piešķiršanas nosacījumiem vispārējas tautsaimnieciskas nozīmes pakalpojumu 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iesniedz sadarbības iestādē vispārējas tautsaimnieciskas nozīmes pakalpojuma pilnvarojuma uzlicēja apliecinājumu par šo noteikumu </w:t>
      </w:r>
      <w:r w:rsidR="00000000" w:rsidRPr="00000000" w:rsidDel="00000000">
        <w:rPr>
          <w:rtl w:val="0"/>
        </w:rPr>
        <w:t xml:space="preserve">12.6. </w:t>
      </w:r>
      <w:r w:rsidR="00000000" w:rsidRPr="00000000" w:rsidDel="00000000">
        <w:rPr>
          <w:rtl w:val="0"/>
        </w:rPr>
        <w:t xml:space="preserve">apakšpunktā</w:t>
      </w:r>
      <w:r w:rsidR="00000000" w:rsidRPr="00000000" w:rsidDel="00000000">
        <w:rPr>
          <w:rtl w:val="0"/>
        </w:rPr>
        <w:t xml:space="preserve">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atbalsta saņēmējam ir pienākums atmaksāt sadarbības iestādei visu projekta ietvaros saņemto nelikumīgo komercdarbības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iesniedzējam ir īpašuma tiesības uz nekustamo īpašumu, tai skaitā zemi un infrastruktūru, kurā tiks veiktas projektā paredzētās darbības, uz termiņu, kas nav mazāks par 30 gadiem no projekta iesnieguma iesniegšanas dienas sadarbības iestādē (īpašuma tiesības nostiprinātas zemesgrāmatā līdz noslēguma maksājuma pieprasījuma iesniegšanai sadarbības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tai skaitā apliecina projekta iesniedzēja interešu konflikta neesību. Otrajā kārtā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otrajā kārtā atbilstoši sadarbības iestādes izstrādātajiem metodiskajiem norādījumiem veic projekta izmaksu un ieguvumu analīzi (finanšu analīzi un ekonomisko analīzi), ievērojot, ka projekta: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 ienesīguma norma ir lielāka par sociālā diskonta likmi;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 neto pašreizējā vērtība ir lielāka par nulli;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 cikls ir 30 gadi.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ievēro horizontālos principus "Nenodarīt būtisku kaitējumu", "Energoefektivitāte pirmajā vietā", "Klimatdrošināšana" un Eiropas Savienības un Latvijas Republikas normatīvos aktus vides aizsardzības jomā, tai skaitā: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apliecinājumu, ka būvdarbu veicējiem vai pakalpojumu sniedzējiem projekta iesniedzējs noteiks pienākumu, 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70 procenti (pēc masas) no būvgružiem un ēku nojaukšanas atkritumiem, kas nav bīstami un būvlaukumā radušies būvniecības laikā (izņemot dabiskos materiālus), tiks sagatavoti atkārtotai izmantošanai, pārstrādei un citu materiālu reģenerācijai (tostarp aizbēršanas darbībām, kurās atkritumus izmanto citu materiālu aizstāšanai);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procesa laikā tiks ievērotas prasības par koku ciršanas aizliegumu putnu ligzdošanas periodā un nodrošināta esošo koku veselības stāvokļa aizsardzība, tai skaitā nekaitējot koku saknēm;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nodrošina atbilstību tādiem aspektiem kā klimata pārmaiņu mazināšana un pielāgošanās klimata pārmaiņām;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paredz enerģijas ietaupījumu vai pasākumus, kas kopumā vai daļēji ir aizstājami ar izmaksefektīviem, tehniski, ekonomiski un videi nekaitīgiem alternatīviem pasākumiem un vienlīdz efektīvi nodrošina attiecīgo mērķu sasniegšanu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veic siltumnīcefekta gāzu emisiju ietaupījuma aprēķinu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paredz darbības, kas veicina horizontālā principa "Vienlīdzība, iekļaušana, nediskriminācija un pamattiesību ievērošana"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Atbalstāmās darbības plāno saskaņā ar Notekūdeņu apsaimniekošanas investīciju plānu 2021.–2027. gadam un Notekūdeņu dūņu apsaimniekošanas plānu 2024.-2027. gadam.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Otrajā kārtā projekta iesniegumā iekļauj šādas atbalstāmās darbības, kas ietver investīcijas infrastruktūras izveidei, pārbūvei vai atjaunošanai, kā arī tās funkcionalitātes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notekūdeņu attīrīšanas iekārtu efektivitātes un attīrīšanas kvalitātes uzlabošana, tai skaitā trešējās notekūdeņu attīrīšanas uzlabošanai;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notekūdeņu dūņu apstrādes iekārtu izveide, pārbūve vai atjaunošana, pamatojot siltumnīcefekta gāzu emisiju samazinājumu;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sabiedriskā ūdenssaimniecības pakalpojuma nodrošināšanu saistīto inženiertīklu izveide, pārbūve vai rekonstrukcija;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horizontālo principu "Nenodarīt būtisku kaitējumu", "Energoefektivitāte pirmajā vietā", "Klimatdrošināšana" un "Vienlīdzība, iekļaušana, nediskriminācija un pamattiesību ievērošana"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netiek atbalstīta: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atkritumu (tai skaitā notekūdeņu dūņu) apglabāšanas, pārstrādes un sadedzināšanas infrastruktūras attīstīšana;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piesārņoto vietu remediācija un sanācijas darbu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fosilo resursu izmantojošu iekārtu, tai skaitā sadedzināšanas iekārtu, izveide, nomaiņa vai atjaunošana;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centralizētā notekūdeņu savākšanas tīkla paplašināšana un atjaunošana;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enerģiju ražojošu iekārtu uzstādīšana, nomaiņa vai atjaunošana.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Otrās kārtas projekta ietvaros plāno tikai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attiecināmās izmaksas otrās kārtas ietvaros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un projekta īstenošanas dokumentācijas izstrāde, kopā nepārsniedzot 10 procentus no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izmaksu un ieguvumu analīzes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siltumnīcefekta gāzu emisiju ietaupījuma aprēķina sagatavošanas izmaksas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darbību īstenošanai nepieciešamo tehnisko specifikāciju, tehnisko projektu vai būvprojektu sagatavošanas (tai skaitā ar būvniecības ieceri un būvprojekta minimālā sastāvā saistīto sagatavošanas darbu)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būvprojekta ekspertīzes izmaksas, autoruzraudzības un būvuzraudzības (tai skaitā inženiertehniskās uzraudzības) izmaksas, ja ekspertīzes vai uzraudzības veikšanu nosaka normatīvie akti, kopā nepārsniedzot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tehnoloģisko iekārtu demontāžas izmaksas, ēku un būvju nojaukšanas izmaksas, ja tās tiešā veidā saistītas ar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iekārtu uzstādīšanu, kopā nepārsniedzot 10 procentus no šo noteikumu </w:t>
      </w:r>
      <w:r w:rsidR="00000000" w:rsidRPr="00000000" w:rsidDel="00000000">
        <w:rPr>
          <w:rtl w:val="0"/>
        </w:rPr>
        <w:t xml:space="preserve">26.4. </w:t>
      </w:r>
      <w:r w:rsidR="00000000" w:rsidRPr="00000000" w:rsidDel="00000000">
        <w:rPr>
          <w:rtl w:val="0"/>
        </w:rPr>
        <w:t xml:space="preserve">apakšpunktā</w:t>
      </w:r>
      <w:r w:rsidR="00000000" w:rsidRPr="00000000" w:rsidDel="00000000">
        <w:rPr>
          <w:rtl w:val="0"/>
        </w:rPr>
        <w:t xml:space="preserve"> minēto iekārtu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mehānismu un inženiertehnisko risinājumu, kā arī tiem nepieciešamo ražošanas telpu vai to kombinācijas izmaksas, tai skaitā saistīto būvdarbu, piegādes un pakalpojumu līgumu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 Minētās izmaksas nepārsniedz vienu procentu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neparedzētie izdevumi, nepārsniedzot piecus procentus no projekta kopējām tiešajām attiecināmajām izmaksām, kuru izlietošanu finansējuma saņēmējs saskaņo ar sadarbības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rezerves izmaksas ne vairāk kā 10 procentu apmērā no attiecināmo būvniecības izmaksu kopsummas, ja projektā paredzētas būvniecības darbības un attiecināmajās izmaksās nav iekļauti šo noteikumu </w:t>
      </w:r>
      <w:r w:rsidR="00000000" w:rsidRPr="00000000" w:rsidDel="00000000">
        <w:rPr>
          <w:rtl w:val="0"/>
        </w:rPr>
        <w:t xml:space="preserve">26.7. </w:t>
      </w:r>
      <w:r w:rsidR="00000000" w:rsidRPr="00000000" w:rsidDel="00000000">
        <w:rPr>
          <w:rtl w:val="0"/>
        </w:rPr>
        <w:t xml:space="preserve">apakšpunktā</w:t>
      </w:r>
      <w:r w:rsidR="00000000" w:rsidRPr="00000000" w:rsidDel="00000000">
        <w:rPr>
          <w:rtl w:val="0"/>
        </w:rPr>
        <w:t xml:space="preserve"> minētie neparedzētie izdevumi. Rezerves izmaksu izlietošanu finansējuma saņēmējs saskaņo ar sadarbības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pievienotās vērtības nodokļa izmaksas, kas tiešā veidā saistītas ar projektu,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tās nav atgūstamas nodokļu politiku reglamentējošos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otrās kārtas ietvaros izmaksas ir attiecināmas, ja tās: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tieši saistītas ar projekta ietvaros veiktajām darbībām, ir samērīgas, pamatotas un atbilst normatīvo aktu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veiktas par aktīviem, kas ir jauni un iegādāti no trešajām personām par tirgus vērtību un kurus izmanto tikai finansējuma saņēmēja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Ārpus projekta drīkst paredzēt izmaksas, kas tiešā veidā nodrošina projekta mērķa sasniegšanu, vienlaikus ievērojot šo noteikumu </w:t>
      </w:r>
      <w:r w:rsidR="00000000" w:rsidRPr="00000000" w:rsidDel="00000000">
        <w:rPr>
          <w:rtl w:val="0"/>
        </w:rPr>
        <w:t xml:space="preserve">32.13. </w:t>
      </w:r>
      <w:r w:rsidR="00000000" w:rsidRPr="00000000" w:rsidDel="00000000">
        <w:rPr>
          <w:rtl w:val="0"/>
        </w:rPr>
        <w:t xml:space="preserve">apakšpunktā</w:t>
      </w:r>
      <w:r w:rsidR="00000000" w:rsidRPr="00000000" w:rsidDel="00000000">
        <w:rPr>
          <w:rtl w:val="0"/>
        </w:rPr>
        <w:t xml:space="preserve"> minētās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Izmaksas ir attiecināmas no 2025. gada 1. janvāra. Ja projekts ir pabeigts pirms projekta iesnieguma iesniegšanas sadarbības iestādē, projekta iesniegums tiek noraidīts.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Otrās kārtas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projektu īsteno atbilstoši noslēgtajā civiltiesiskajā līgumā par projekta īstenošanu noteiktajam termiņam,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rādītāju vērtībām un sniedz šo informāciju sadarbības iestādei saskaņā ar civiltiesiskajā līgumā noteikto kārtību vai pēc pieprasījuma;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horizontālos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 (tai skaitā veic ietekmes uz vidi novērtējumu vai sākotnējo izvērtējumu,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novērš interešu konflikta risku saskaņā ar Eiropas Parlamenta un Padomes Regulas (ES, Euratom) 2024/2509 (2024. gada 23. septembris) par finanšu noteikumiem, ko piemēro Savienības vispārējam budžetam 61. panta prasībām un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saviem līdzekļiem sedz projekta īstenošanas gaitā radušos sadārdzinājumu un citas papildu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dubultā finansējuma neiestāšanos, tostarp,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 retāk kā reizi sešos mēnešos savā tīmekļvietnē ievieto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ir saņemtas visas vides aizsardzības vai būvniecības jomu reglamentējošos normatīvajos aktos noteiktās atļaujas, kas nepieciešamas, lai īstenotu projektā plānotos tehnoloģiskos risinājumus un veiktu  būvniecību vai iekārtu uzstādīšanu. Attiecībā uz atbilstošu piesārņojošās darbības atļauju nodrošina, ka tā tiek saņemta vismaz līdz noslēguma maksājuma pieprasījumam;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vismaz piecus gadus pēc noslēguma maksājuma veikšanas izmanto projektā ieguldītās investīcijas un radītos pamatlīdzekļus projektā paredzētajam mērķim;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ieguldīto investīciju ilgtspēju un uzturēšanu darba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ietvaros, veicot iepirkumus, ievēro, ka iepirkumu procedūras tiek veiktas saskaņā ar normatīvo aktu prasībām sabiedrisko pakalpojumu sniedzēju iepirkumu jomā, īstenojot atklātu, pārredzamu, nediskriminējošu un konkurenci nodrošinošu iepirkuma procedūru, un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gadījumā, ja ārpus projekta vai cita projekta ietvaros tiek īstenotas darbības projekta mērķa sasniegšanai, nodrošina, ka visas darbības ir pabeigtas un infrastruktūras objekti ir gatavi ekspluatācijai līdz noslēguma maksājuma pieprasījuma iesniegšanas dienai sadarbības iestādē.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un pamatojoties uz finansējuma saņēmēja rakstisku avansa pieprasījumu, var piešķirt finansējuma saņēmējam avansu pēc tam, kad noslēgts civiltiesiskais līgums. Finansējuma saņēmējs avansa pieprasījumu sagatavo un sadarbības iestāde to apstiprina, ņemot vērā nosacījumu, ka plānotā avansa apmērs atbilst spējai to izlietot sešu mēnešu laikā.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Komercdarbības atbalstu, kas piešķirts šo noteikumu ietvaros, drīkst kumulēt ar citu komercdarbības atbalstu, 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25-TA-496</w:t>
    </w:r>
    <w:r>
      <w:br/>
    </w:r>
    <w:r w:rsidR="00000000" w:rsidRPr="00000000" w:rsidDel="00000000">
      <w:rPr>
        <w:rtl w:val="0"/>
      </w:rPr>
      <w:t xml:space="preserve">Izdrukāts 30.07.2026. 00.03 - 1.0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25-TA-496</w:t>
    </w:r>
    <w:r>
      <w:br/>
    </w:r>
    <w:r w:rsidR="00000000" w:rsidRPr="00000000" w:rsidDel="00000000">
      <w:rPr>
        <w:rtl w:val="0"/>
      </w:rPr>
      <w:t xml:space="preserve">Izdrukāts 30.07.2026. 00.03 - 1.0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noteikumu_projekts_25-TA-496.docx</dc:title>
</cp:coreProperties>
</file>

<file path=docProps/custom.xml><?xml version="1.0" encoding="utf-8"?>
<Properties xmlns="http://schemas.openxmlformats.org/officeDocument/2006/custom-properties" xmlns:vt="http://schemas.openxmlformats.org/officeDocument/2006/docPropsVTypes"/>
</file>