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vaislas sivēnmāšu sagatavošanu ierakstīšanai ciltsgrāmatā, to ģenētiskās kvalitātes noteikšanu un produktivitātes datu izvērtēšanu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08.02.2022. noteikumu Nr. 108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60"/>
        <w:gridCol w:w="1136"/>
        <w:gridCol w:w="1120"/>
        <w:gridCol w:w="1087"/>
        <w:gridCol w:w="1056"/>
        <w:gridCol w:w="1024"/>
        <w:gridCol w:w="976"/>
        <w:gridCol w:w="879"/>
        <w:tblGridChange w:id="0">
          <w:tblGrid>
            <w:gridCol w:w="1160"/>
            <w:gridCol w:w="1136"/>
            <w:gridCol w:w="1120"/>
            <w:gridCol w:w="1087"/>
            <w:gridCol w:w="1056"/>
            <w:gridCol w:w="1024"/>
            <w:gridCol w:w="976"/>
            <w:gridCol w:w="87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(juridiskās personas firma (nosaukums)/fiziskās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sivēnmāšu skaits ganāmpulkā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 skaits ar selekcijas indeksu 110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95 % no kopējā sivēnmāšu skaita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75 % no kopējā sivēnmāšu skaita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par sivēnmātēm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</w:t>
      </w:r>
      <w:r w:rsidR="00000000" w:rsidRPr="00000000" w:rsidDel="00000000">
        <w:rPr>
          <w:rtl w:val="0"/>
        </w:rPr>
        <w:t xml:space="preserve">        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(vārds, uzvārds, paraksts*)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22-TA-1601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22-TA-1601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