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Valsts prezidenta darbības nodrošināšanu"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Valsts prezidenta darbības nodrošināšanu" (Latvijas Republikas Saeimas un Ministru Kabineta Ziņotājs, 1995, 24. nr.; 1999, 23. nr.; Latvijas Vēstnesis, 2011, 56. nr.; 2013, 191., 250.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pantu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1. pants.</w:t>
      </w:r>
      <w:r w:rsidR="00000000" w:rsidRPr="00000000" w:rsidDel="00000000">
        <w:rPr>
          <w:rtl w:val="0"/>
        </w:rPr>
        <w:t xml:space="preserve"> Valsts prezidenta atlīdzību nosaka atbilstoši </w:t>
      </w:r>
      <w:r w:rsidR="00000000" w:rsidRPr="00000000" w:rsidDel="00000000">
        <w:rPr>
          <w:rtl w:val="0"/>
        </w:rPr>
        <w:t xml:space="preserve">Valsts un pašvaldību institūciju amatpersonu un darbinieku atlīdzības likumam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2. pantu.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22-TA-657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22-TA-657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likumprojekts_(grozījumi)_22-TA-657.docx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