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20. aprīlī (prot. Nr. 20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Nacionālās gvardes vienībām, Viņņicas apgabala Tulčinskas Militārajai pārvaldei, Čerņihivas apgabala Priluku rajona Militārajai pārvaldei, Hersonas apgabala Novovoroncovkas Militārajai pārvaldei, Harkivas apgabala Maļiņivskas Militārajai pārvaldei, Harkivas apgabala Izjumas rajona Militārajai pārvaldei, Doņeckas apgabala Kramotorskas Militārajai pārvaldei, Harkivas Klīniskajai daudzprofilu dzelzceļa slimnīcai, Sosnivas pilsētas slimnīcai)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26-TA-699</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26-TA-699</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rīkojuma_projekts_26-TA-699.docx</dc:title>
</cp:coreProperties>
</file>

<file path=docProps/custom.xml><?xml version="1.0" encoding="utf-8"?>
<Properties xmlns="http://schemas.openxmlformats.org/officeDocument/2006/custom-properties" xmlns:vt="http://schemas.openxmlformats.org/officeDocument/2006/docPropsVTypes"/>
</file>