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"Dzeramā ūdens obligātās nekaitīguma un kvalitātes prasības, monitoringa un kontroles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valsts budžeta līdzekļu piešķiršanu Veselības ministrijai noteikumu projektā paredzēto pasākumu īstenošanai 2023.–2025. gadam un turpmāk ik gadu skatīt Ministru kabinetā likumprojekta “Par valsts budžetu 2023. gadam un budžeta ietvaru 2023., 2024. un 2025. gadam” sagatavošanas procesā kopā ar visu ministriju un citu centrālo valsts iestāžu prioritārajiem pasākumiem, ievērojot valsts budžeta finansiālās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22-TA-2538</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mk_sēdes_protokollēmuma_projekts_22-TA-2538.docx</dc:title>
</cp:coreProperties>
</file>

<file path=docProps/custom.xml><?xml version="1.0" encoding="utf-8"?>
<Properties xmlns="http://schemas.openxmlformats.org/officeDocument/2006/custom-properties" xmlns:vt="http://schemas.openxmlformats.org/officeDocument/2006/docPropsVTypes"/>
</file>