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[24-TA-1859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[24-TA-1859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 gada 11.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134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Vēža pacienta karte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Pacienta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personas kods vai personas identifikators*;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vārds (vārdi),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dzimums;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dzimšanas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deklarētās dzīvesvietas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deklarētās dzīvesvietas administratīvi teritoriālās vienības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miršanas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nāves pamatcēlonis;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vitālais statuss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Diagnostikas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diagnozes noteikšanas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informācija par pacienta iekļaušanu zaļajā koridorā:</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datums, kad pirmreizēji norādīta pacientu grupa, un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primārās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sekundārās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pirmreizējais konsīlija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informācija par pacienta iekļaušanu dzeltenajā koridorā:</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datums, kad pirmreizēji norādīta pacientu grupa, un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primārās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sekundārās diagnostikas datums, manipulācijas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pirmreizējais konsīlija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diagnozes atklāšanas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pēdējais veiktais diagnozei atbilstošais skrīnings:</w:t>
      </w:r>
      <w:r w:rsidR="00000000" w:rsidRPr="00000000" w:rsidDel="00000000">
        <w:rPr>
          <w:sz w:val="20"/>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Audzēja pamatdati: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retā slimība (nosaukums un kods atbilstoši </w:t>
      </w:r>
      <w:r w:rsidR="00000000" w:rsidRPr="00000000" w:rsidDel="00000000">
        <w:rPr>
          <w:i w:val="1"/>
          <w:rtl w:val="0"/>
        </w:rPr>
        <w:t xml:space="preserve">Orphanet </w:t>
      </w:r>
      <w:r w:rsidR="00000000" w:rsidRPr="00000000" w:rsidDel="00000000">
        <w:rPr>
          <w:rtl w:val="0"/>
        </w:rPr>
        <w:t xml:space="preserve">reto slimību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bērnu vecumposma vēža diagnoze (nosaukums un kods atbilstoši Starptautiskajai bērnu vecumposma vēžu klasifikācijai </w:t>
      </w:r>
      <w:r w:rsidR="00000000" w:rsidRPr="00000000" w:rsidDel="00000000">
        <w:rPr>
          <w:sz w:val="20"/>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audzēja topogrāfija (nosaukums un kods atbilstoši Starptautiskās slimību klasifikācijas onkoloģijai versijai 3.2. (turpmāk ‒ SSK-O-3.2.))*;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audzēja morfoloģija (nosaukums un kods atbilstoši SSK-O-3.2.)*;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audzēja diferenciācijas pakāpe (nosaukums un kods atbilstoši SSK-O-3.2.)*;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audzēja lokalizācija pāra orgāniem*;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diagnozes noteikšanas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diagnozes pamatošanas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Audzēja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TNM</w:t>
      </w:r>
      <w:r w:rsidR="00000000" w:rsidRPr="00000000" w:rsidDel="00000000">
        <w:rPr>
          <w:vertAlign w:val="superscript"/>
          <w:rtl w:val="0"/>
        </w:rPr>
        <w:t xml:space="preserve">4</w:t>
      </w:r>
      <w:r w:rsidR="00000000" w:rsidRPr="00000000" w:rsidDel="00000000">
        <w:rPr>
          <w:rtl w:val="0"/>
        </w:rPr>
        <w:t xml:space="preserve"> klasifikācijas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audzēja TNM – T vērtība (atbilstoši TNM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audzēja TNM – N vērtība (atbilstoši TNM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audzēja TNM – M vērtība (atbilstoši TNM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audzēja histoloģiskā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attālo metastāžu lokalizācija*;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audzēja stadija atbilstoši TNM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audzēja stadija atbilstoši FIGO</w:t>
      </w:r>
      <w:r w:rsidR="00000000" w:rsidRPr="00000000" w:rsidDel="00000000">
        <w:rPr>
          <w:vertAlign w:val="superscript"/>
          <w:rtl w:val="0"/>
        </w:rPr>
        <w:t xml:space="preserve">5</w:t>
      </w:r>
      <w:r w:rsidR="00000000" w:rsidRPr="00000000" w:rsidDel="00000000">
        <w:rPr>
          <w:rtl w:val="0"/>
        </w:rPr>
        <w:t xml:space="preserve">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audzēja stadija atbilstoši </w:t>
      </w:r>
      <w:r w:rsidR="00000000" w:rsidRPr="00000000" w:rsidDel="00000000">
        <w:rPr>
          <w:i w:val="1"/>
          <w:rtl w:val="0"/>
        </w:rPr>
        <w:t xml:space="preserve">AnnArbor</w:t>
      </w:r>
      <w:r w:rsidR="00000000" w:rsidRPr="00000000" w:rsidDel="00000000">
        <w:rPr>
          <w:rtl w:val="0"/>
        </w:rPr>
        <w:t xml:space="preserve">/</w:t>
      </w:r>
      <w:r w:rsidR="00000000" w:rsidRPr="00000000" w:rsidDel="00000000">
        <w:rPr>
          <w:i w:val="1"/>
          <w:rtl w:val="0"/>
        </w:rPr>
        <w:t xml:space="preserve">Lugano</w:t>
      </w:r>
      <w:r w:rsidR="00000000" w:rsidRPr="00000000" w:rsidDel="00000000">
        <w:rPr>
          <w:i w:val="1"/>
          <w:vertAlign w:val="superscript"/>
          <w:rtl w:val="0"/>
        </w:rPr>
        <w:t xml:space="preserve">6</w:t>
      </w:r>
      <w:r w:rsidR="00000000" w:rsidRPr="00000000" w:rsidDel="00000000">
        <w:rPr>
          <w:i w:val="1"/>
          <w:rtl w:val="0"/>
        </w:rPr>
        <w:t xml:space="preserve"> </w:t>
      </w:r>
      <w:r w:rsidR="00000000" w:rsidRPr="00000000" w:rsidDel="00000000">
        <w:rPr>
          <w:rtl w:val="0"/>
        </w:rPr>
        <w:t xml:space="preserve">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hroniskas mieloleikozes fāze*;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rezekcijas līniju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w:t>
      </w:r>
      <w:r w:rsidR="00000000" w:rsidRPr="00000000" w:rsidDel="00000000">
        <w:rPr>
          <w:i w:val="1"/>
          <w:rtl w:val="0"/>
        </w:rPr>
        <w:t xml:space="preserve">Breslow</w:t>
      </w:r>
      <w:r w:rsidR="00000000" w:rsidRPr="00000000" w:rsidDel="00000000">
        <w:rPr>
          <w:i w:val="1"/>
          <w:vertAlign w:val="superscript"/>
          <w:rtl w:val="0"/>
        </w:rPr>
        <w:t xml:space="preserve">7</w:t>
      </w:r>
      <w:r w:rsidR="00000000" w:rsidRPr="00000000" w:rsidDel="00000000">
        <w:rPr>
          <w:i w:val="1"/>
          <w:rtl w:val="0"/>
        </w:rPr>
        <w:t xml:space="preserve"> </w:t>
      </w:r>
      <w:r w:rsidR="00000000" w:rsidRPr="00000000" w:rsidDel="00000000">
        <w:rPr>
          <w:rtl w:val="0"/>
        </w:rPr>
        <w:t xml:space="preserve">metodes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w:t>
      </w:r>
      <w:r w:rsidR="00000000" w:rsidRPr="00000000" w:rsidDel="00000000">
        <w:rPr>
          <w:i w:val="1"/>
          <w:rtl w:val="0"/>
        </w:rPr>
        <w:t xml:space="preserve">Clark</w:t>
      </w:r>
      <w:r w:rsidR="00000000" w:rsidRPr="00000000" w:rsidDel="00000000">
        <w:rPr>
          <w:i w:val="1"/>
          <w:vertAlign w:val="superscript"/>
          <w:rtl w:val="0"/>
        </w:rPr>
        <w:t xml:space="preserve">8 </w:t>
      </w:r>
      <w:r w:rsidR="00000000" w:rsidRPr="00000000" w:rsidDel="00000000">
        <w:rPr>
          <w:rtl w:val="0"/>
        </w:rPr>
        <w:t xml:space="preserve">metodes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Slimības norises gaita: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slimības progresijas diagnosticēšanas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lokāla recidīva diagnosticēšanas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attālo metastāžu diagnosticēšanas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attālo metastāžu lokalizācija*;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slimības remisijas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papildu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noņemšanas no uzskaites: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Vēža pacienta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ārstniecības iestāde, kurā saņemta ārstēšana (iestādes nosaukums un kods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ārvalstu ārstniecības iestāde, kurā saņemta ārstēšana (iestādes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ārstētā slimība*;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ārstēšanas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 ķirurģiska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6.4.1.1. operācijas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6.4.1.2. operācijas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6.4.1.3. operācija (nosaukums un kods atbilstoši NOMESCO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6.4.1.4. norāde par pacienta turpmāko ārstēšanu/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 staru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6.4.2.1. staru 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6.4.2.2. staru terapijas apakšveids*;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6.4.2.3. staru terapijas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6.4.2.4. staru 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6.4.2.5. staru 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6.4.2.6. kursā saņemto greju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6.4.2.7. kursā saņemto frakciju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6.4.2.8. norāde par turpmāko ārstēšanu/novērošanu*;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 ķīmijterapija: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6.4.3.1. ķīmijterapijas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6.4.3.2. ķīmijterapijas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6.4.3.3. zāļu vispārīgais nosaukums un anatomiski terapeitiski ķīmiskais kods (atbilstoši ATĶ</w:t>
      </w:r>
      <w:r w:rsidR="00000000" w:rsidRPr="00000000" w:rsidDel="00000000">
        <w:rPr>
          <w:vertAlign w:val="superscript"/>
          <w:rtl w:val="0"/>
        </w:rPr>
        <w:t xml:space="preserve">9</w:t>
      </w:r>
      <w:r w:rsidR="00000000" w:rsidRPr="00000000" w:rsidDel="00000000">
        <w:rPr>
          <w:rtl w:val="0"/>
        </w:rPr>
        <w:t xml:space="preserve">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6.4.3.4. saņemto kursu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6.4.3.5. ķīmijterapijas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6.4.3.6. ķīmijterapijas pārtraukšanas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6.4.3.7. ķīmijterapijas pārtraukšanas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6.4.3.8. ķīmijterapijas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6.4.3.9. norāde par pacienta turpmāko ārstēšanu/novērošanu*;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 endokrīnā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6.4.4.1. endokrīnās 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6.4.4.2. endokrīnās terapijas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6.4.4.3. zāļu vispārīgais nosaukums un anatomiski terapeitiski ķīmiskais kods (atbilstoši ATĶ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6.4.4.4. endokrīnās 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6.4.4.5. endokrīnās terapijas pārtraukšanas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6.4.4.6. endokrīnās terapijas pārtraukšanas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6.4.4.7. endokrīnās 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6.4.4.8. norāde par pacienta turpmāko ārstēšanu/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 imūnterapija: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6.4.5.1. imūnterapijas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6.4.5.2. imūnterapijas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6.4.5.3. zāļu vispārīgais nosaukums un anatomiski terapeitiski ķīmiskais kods (atbilstoši ATĶ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6.4.5.4. imūnterapijas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6.4.5.5. imūnterapijas pārtraukšanas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6.4.5.6. imūnterapijas pārtraukšanas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6.4.5.7. imūnterapijas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6.4.5.8. norāde par pacienta turpmāko ārstēšanu/novērošanu*;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 mērķterapija: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6.4.6.1. mērķterapijas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6.4.6.2. mērķterapijas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6.4.6.3. zāļu vispārīgais nosaukums un anatomiski terapeitiski ķīmiskais kods (atbilstoši ATĶ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6.4.6.4. mērķterapijas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6.4.6.5. mērķterapijas pārtraukšanas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6.4.6.6. mērķterapijas pārtraukšanas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6.4.6.7. mērķterapijas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6.4.6.8. norāde par pacienta turpmāko ārstēšanu/novērošanu*;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 perifēro asins cilmes šūnu transplantācija*: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6.4.7.1. transplantācijas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6.4.7.2. donora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6.4.7.3. transplantācijas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6.4.7.4. norāde par pacienta turpmāko ārstēšanu/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6.4.8. paliatīvā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6.4.8.1. paliatīvās aprūpes uzsākšanas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Molekulārā un citoģenētiskā izmeklēšana, kas saistīta ar onkoloģisko slimību, atbilstoši izmeklējuma veida kodam: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veselības informācijas sistēmā uzkrāto laboratorisko izmeklējumu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laboratoriskā izmeklējuma pārskata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izmeklējuma kods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laboratorisko izmeklējumu dati, kas ievadāmi manuāli veselības informācijas sistēmā (t. sk. vēsturiskie dati,  ārvalstīs veiktie)*: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laboratoriskā izmeklējuma pārskata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izmeklējuma kods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parauga ņemšanas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laboratorija, kurā veikts izmeklējums, un valsts, ja izmeklējums veikts ārvalstīs*;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 laboratoriskā izmeklējuma rezultāta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7.2.5.1.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7.2.5.2. rezultāta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7.2.5.3. papildu informācija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Vitālais statuss tiek aprēķināts, balstoties uz šādiem datiem: miršanas datums un personas statuss (aktīvs/pasīvs).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"Aktīvs" un personai nav norādīts miršanas datums, tad vitālais statuss = dzīvs;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"Aktīvs" un personai ir norādīts miršanas datums, tad vitālais statuss = miris;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"Pasīvs", tad vitālais statuss =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Nacionālā veselības dienesta Vadības informācijas sistēmas dati. Dati no Nacionālā veselības dienesta Vadības informācijas sistēmas tiek atjaunoti atbilstoši termiņam, kas ir saskaņots ar Nacionālo veselības dienestu, un iekļauti SPKC tīmekļvietnē publicētajos metodiskajos norādījumos informācijas sniegšanai vienotajā veselības nozares elektroniskās informācijas sistēmā par pacientiem, kuriem diagnosticēta onkoloģiska slimība.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 </w:t>
      </w:r>
      <w:r w:rsidR="00000000" w:rsidRPr="00000000" w:rsidDel="00000000">
        <w:rPr>
          <w:rtl w:val="0"/>
        </w:rPr>
        <w:t xml:space="preserve">Bērnu vecumposma vēžu klasifikators (ICCC – </w:t>
      </w:r>
      <w:r w:rsidR="00000000" w:rsidRPr="00000000" w:rsidDel="00000000">
        <w:rPr>
          <w:i w:val="1"/>
          <w:rtl w:val="0"/>
        </w:rPr>
        <w:t xml:space="preserve">International Classification of Childhood Cancer</w:t>
      </w:r>
      <w:r w:rsidR="00000000" w:rsidRPr="00000000" w:rsidDel="00000000">
        <w:rPr>
          <w:rtl w:val="0"/>
        </w:rPr>
        <w:t xml:space="preserve">, IARC 2017.).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Ļaundabīgo audzēju TNM (</w:t>
      </w:r>
      <w:r w:rsidR="00000000" w:rsidRPr="00000000" w:rsidDel="00000000">
        <w:rPr>
          <w:i w:val="1"/>
          <w:rtl w:val="0"/>
        </w:rPr>
        <w:t xml:space="preserve">Tumor, Node, Metastases</w:t>
      </w:r>
      <w:r w:rsidR="00000000" w:rsidRPr="00000000" w:rsidDel="00000000">
        <w:rPr>
          <w:rtl w:val="0"/>
        </w:rPr>
        <w:t xml:space="preserve">) klasifikācija.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Starptautiskās dzemdību speciālistu un ginekologu asociācijas (</w:t>
      </w:r>
      <w:r w:rsidR="00000000" w:rsidRPr="00000000" w:rsidDel="00000000">
        <w:rPr>
          <w:i w:val="1"/>
          <w:rtl w:val="0"/>
        </w:rPr>
        <w:t xml:space="preserve">International Federation of Obstetricians and Gynaecologists</w:t>
      </w:r>
      <w:r w:rsidR="00000000" w:rsidRPr="00000000" w:rsidDel="00000000">
        <w:rPr>
          <w:rtl w:val="0"/>
        </w:rPr>
        <w:t xml:space="preserve">) klasifikācija.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Audzēja stadija pēc limfātiskās sistēmas audzēju klasifikācijas tiek noteikta hematoloģisko limfoīdo vēžu –  Hodžkina vai ne-Hodžkina limfomu –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Melanomas morfoloģiskais rādītājs un prognostiskais faktors – apraksta to, cik dziļi audzēja šūnas izplatījušās ādas slāņos.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Melanomas morfoloģiskais rādītājs un prognostiskais faktors tiek izmantots melanomas diagnostikā, lai noteiktu audzēja infiltrācijas līmeni dermā un izvērtētu ietekmi uz slimības prognozi.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Anatomiski terapeitiski ķīmiskā klasifikācija (</w:t>
      </w:r>
      <w:r w:rsidR="00000000" w:rsidRPr="00000000" w:rsidDel="00000000">
        <w:rPr>
          <w:i w:val="1"/>
          <w:rtl w:val="0"/>
        </w:rPr>
        <w:t xml:space="preserve">Anatomic Therapeutic Chemical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Aizpilda ārstniecības iestāde."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24-TA-1859</w:t>
    </w:r>
    <w:r>
      <w:br/>
    </w:r>
    <w:r w:rsidR="00000000" w:rsidRPr="00000000" w:rsidDel="00000000">
      <w:rPr>
        <w:rtl w:val="0"/>
      </w:rPr>
      <w:t xml:space="preserve">Izdrukāts 29.07.2026. 22.56 - 1.0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24-TA-1859</w:t>
    </w:r>
    <w:r>
      <w:br/>
    </w:r>
    <w:r w:rsidR="00000000" w:rsidRPr="00000000" w:rsidDel="00000000">
      <w:rPr>
        <w:rtl w:val="0"/>
      </w:rPr>
      <w:t xml:space="preserve">Izdrukāts 29.07.2026. 22.56 - 1.0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noteikumu_(grozījumu)_projekts_p19_24-TA-1859.docx</dc:title>
</cp:coreProperties>
</file>

<file path=docProps/custom.xml><?xml version="1.0" encoding="utf-8"?>
<Properties xmlns="http://schemas.openxmlformats.org/officeDocument/2006/custom-properties" xmlns:vt="http://schemas.openxmlformats.org/officeDocument/2006/docPropsVTypes"/>
</file>