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Krimināllikumā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Krimināllikumā (Latvijas Republikas Saeimas un Ministru Kabineta Ziņotājs, 1998, 15. nr.; 2000, 12., 13. nr.; 2001, 15. nr.; 2002, 11., 16., 22., 23. nr.; 2003, 10., 15. nr.; 2004, 2., 3., 4., 6., 11., 12., 13. nr.; 2005, 2., 11., 12., 13., 20., 21., nr.; 2006, 1., 7., 22. nr.; 2007, 3., 15. nr.; 2008, 3., 24. nr.; 2009, 13., 15., 21. nr.; Latvijas Vēstnesis, 2009, 193. nr.; 2010, 178., 199. nr.; 2011, 99., 117., 148., 199. nr.; 2012, 202. nr.; 2013, 61. nr.; 2014, 66., 70., 105., 204., 214. nr.; 2015, 11., 34., 227., 235. nr.; 2016, 31., 59., 81., 254. nr.; 2017, 124., 132. nr.; 2018, 90., 210. nr.; 2019, 123., 130. nr.; 2020, 119.C, 178., 250. nr.; 2021, 12.A, 139., 221.A nr.; 2022, 76., 120., 220. nr.; 2023, 81., 123., 197., 251. nr.; 2024, 97., 119., 124.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84.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dispozīcijā vārdus "Eiropas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sankcijā vārdus "četriem gadiem" ar vārdiem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sankciju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trešās daļas sankcijā vārdus "astoņiem gadiem" ar vārdiem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84.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84.</w:t>
      </w:r>
      <w:r w:rsidR="00000000" w:rsidRPr="00000000" w:rsidDel="00000000">
        <w:rPr>
          <w:b w:val="1"/>
          <w:vertAlign w:val="superscript"/>
          <w:rtl w:val="0"/>
        </w:rPr>
        <w:t xml:space="preserve">1</w:t>
      </w:r>
      <w:r w:rsidR="00000000" w:rsidRPr="00000000" w:rsidDel="00000000">
        <w:rPr>
          <w:b w:val="1"/>
          <w:rtl w:val="0"/>
        </w:rPr>
        <w:t xml:space="preserve"> pants. Eiropas Savienības noteikto sankciju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Eiropas Savienības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ja tas izdarīts ievērojamā apmērā, vai par citu Eiropas Savienības noteikto sankciju pārkāpšanu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noteikto sankciju pārkāpšanu, iegādājoties, realizējot, pārvietojot pāri Latvijas Republikas valsts robežai sankcijām pakļautās stratēģiskas nozīmes preces, šaujamieročus, šaujamieroča būtiskās sastāvdaļas, šaujamieroča munīciju vai militāriem mērķiem paredzētas preces vai tehnoloģijas vai sniedzot starpniecības pakalpojumus, tehniskās palīdzības vai citus ar minētajām precēm saistītus pakalpojumus, vai veicot jebkādas citas aizliegtas darbības ar šīm precēm,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vai otrajā daļā paredzēto noziedzīgo nodarījumu, ja to izdarījusi personu grupa pēc iepriekšējas vienošanās vai ja to izdarījusi valsts amatpersona vai uzņēmuma (uzņēmējsabiedrības) vai organizācijas atbildīgs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vai otrajā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informatīvo atsauci uz Eiropas Savienības direktīvām ar 26.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Eiropas Parlamenta un Padomes 2024. gada 24. aprīļa direktīvas (ES) 2024/1226 par noziedzīgu nodarījumu un sodu noteikšanu attiecībā uz Savienības ierobežojošo pasākumu pārkāpumiem un ar ko groza direktīvu (ES) 2018/1673."</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Personas, kuras izdarījušas Krimināllikuma 84. pantā paredzēto noziedzīgo nodarījumu attiecībā uz Eiropas Savienības noteiktajām sankcijām līdz šā likuma spēkā stāšanās dienai, saucamas pie kriminālatbildības un sodāmas saskaņā ar tām Krimināllikuma normām, kuras bija spēkā attiecīgā nodarījuma izdarīšanas laikā, turklāt ņemot vērā, ka kriminālatbildība par noziedzīgu nodarījumu nevar iestāties, ja pēc šā likuma spēkā stāšanās dienas Krimināllikumā par to nav paredzēta kriminālatbildība.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Izmeklēšanas iestāžu, prokuratūras un tiesu lietvedībā esošos kriminālprocesus par nodarījumiem, par kuriem pēc šā likuma spēkā stāšanās dienas Krimināllikuma 84. pantā attiecībā uz Eiropas Savienības noteiktajām sankcijām nav paredzēta kriminālatbildība Krimināllikuma 84.</w:t>
      </w:r>
      <w:r w:rsidR="00000000" w:rsidRPr="00000000" w:rsidDel="00000000">
        <w:rPr>
          <w:vertAlign w:val="superscript"/>
          <w:rtl w:val="0"/>
        </w:rPr>
        <w:t xml:space="preserve">1</w:t>
      </w:r>
      <w:r w:rsidR="00000000" w:rsidRPr="00000000" w:rsidDel="00000000">
        <w:rPr>
          <w:rtl w:val="0"/>
        </w:rPr>
        <w:t xml:space="preserve"> pantā, izbeidz saskaņā ar Kriminālprocesa likuma 377. panta 2. punktu. Ja krimināllietas materiālos ir ziņas par iespējamu administratīvu pārkāpumu, tos nosūta iestādei, kuras amatpersona veic administratīvā pārkāpuma procesu.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Kriminālprocesu, kurš pabeigts, apsūdzēto nosacīti atbrīvojot no kriminālatbildības par nodarījumiem, par kuriem pēc šā likuma spēkā stāšanās dienas Krimināllikuma 84. pantā attiecībā uz Eiropas Savienības noteiktajām sankcijām nav paredzēta kriminālatbildība, un attiecībā uz kuru lēmums nav stājies spēkā pilnā apjomā, izbeidz saskaņā ar Kriminālprocesa likuma 377. panta 2. punktu.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Šā likuma nosacījumi neattiecas uz personām, kuras līdz šā likuma spēkā stāšanās dienai ir notiesātas vai kurām sods noteikts ar prokurora priekšrakstu par sodu pēc Krimināllikuma 84. panta attiecībā uz Eiropas Savienības noteiktajām sankcijām.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Šā likuma nosacījumi neattiecas uz mantu, kas tika noziedzīgi iegūta vai bija saistīta ar Krimināllikuma 84. pantā paredzēto noziedzīgo nodarījumu attiecībā uz Eiropas Savienības noteiktajām sankcijām un attiecībā par kuru ir stājies spēkā tiesas lēmums, kas pieņemts Kriminālprocesa likuma 59. nodaļā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20.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24-TA-2018</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24-TA-2018</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likumprojekts_(grozījumi)_24-TA-2018.docx</dc:title>
</cp:coreProperties>
</file>

<file path=docProps/custom.xml><?xml version="1.0" encoding="utf-8"?>
<Properties xmlns="http://schemas.openxmlformats.org/officeDocument/2006/custom-properties" xmlns:vt="http://schemas.openxmlformats.org/officeDocument/2006/docPropsVTypes"/>
</file>