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27.06.2023.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atbalstu piešķir par lauksaimniecības dzīvnieku, kas izteikts nosacītās liellopu vienībās un kas saskaņā ar Lauksaimniecības datu centra reģistra datiem ir atbalsta pretendenta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atbalstu var saņemt gan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zemi, gan arī par cita lauksaimnieka apsaimniekošanā esošu zemi, ja tas ir piekritis apputeksnēšanas pakalpojuma saņemšanai un to saskaņojis. Cita lauksaimnieka apsaimniekošanā esošo zemi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pieteikt ne vairāk kā viens biškopis. Atbalsta saņēmējs saņemto saskaņojumu iesniedz Lauku atbalsta dienesta elektroniskajā pieteikšanās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atbalstu piešķir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atbalsta pretendents visā saimniecībā ievēro normatīvajos aktos par tiešo maksājumu piešķiršanu noteiktās nosacījumu sistēmas vispārējās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Vides, klimata un citu pārvaldības saistību īstenošana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maijam ir apguvusi kvalifikācijas celšanas kursus lauksaimniecībā un pārtikas produktu ražošanā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vai Izglītības un zinātnes ministrijas izglītības iestāžu vai zinātnisko institūciju reģistrā iekļauta persona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w:t>
      </w:r>
      <w:r w:rsidR="00000000" w:rsidRPr="00000000" w:rsidDel="00000000">
        <w:rPr>
          <w:rtl w:val="0"/>
        </w:rPr>
        <w:t xml:space="preserve">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Apstiprinātā saistību platība nemainās,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ir samazinājusies ne vairāk kā par 10 procentiem salīdzinājumā ar apstiprināto saistību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pirmstermiņa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turpinās esošais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Saistības var pārtraukt, neatmaksājot iepriekš saņemto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ja kādā no saistību gadiem atbalsta pretendenta medusbites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w:t>
      </w:r>
      <w:r w:rsidR="00000000" w:rsidRPr="00000000" w:rsidDel="00000000">
        <w:rPr>
          <w:rtl w:val="0"/>
        </w:rPr>
        <w:t xml:space="preserve">vai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josla (turpmāk – laukmale), kas var sastāvēt no īsākām laukmalēm,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150 metrus gara buferjosla (turpmāk – buferjosla), kas var sastāvēt no īsākām buferjoslām,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laukmale ir ierīkota gar aramzemes lauka malu, kas robežojas ar tādu ārpus lauku bloku kartes objektu, kas nav aramzeme (piemēram, ceļu, grāvi, mežu), vai starp bioloģisko un konvencionālo lauku, ja starp tiem robeža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zaļo joslu ne vēlāk kā līdz kārtējā gada 25. jūnijam, ja saistību uzņemšanās brīdī zaļā josla aramzemē vēl nav ierīkota, un ik gadu uzturēt zaļo joslu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zaļajā 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zaļajā joslā nepieļaut koku un krūmu atvašu (dzinumu), vecāku par vienu gadu, un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apaugums laukmalē nopļaujams vai sasmalcināms ne biežāk kā vienu reizi līdz 15. septembrim, ja laukmale tiek apsaimniekota kārtējā sezonā, vai biežāk labības un sēklkopības laukos, lai ierobežotu vējauzu un rudzusmilgu, kā arī citu ekspansīvo un invazīvo sugu izplatību sējumos;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buferjoslā nopļaujama un novācama no lauka ne biežāk kā vienu reizi līdz 15. septembrim, ja buferjosla tiek apsaimniekota kārtējā sezonā, vai biežāk labības un sēklkopības laukos, lai ierobežotu vējauzu un rudzusmilgu, kā arī citu ekspansīvo un invazīvo sugu izplatību sējumos. Ja zaļo masu saglabā neskartu līdz nākamās sezonas 15. martam, apaugumu nopļauj pilnā garumā līdz ar zemi un atstāj vai sasmalcina;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ierīkotās buferjoslas atrašanās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27.06.2023. noteikumiem Nr. 351)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2.1.2.</w:t>
      </w:r>
      <w:r w:rsidR="00000000" w:rsidRPr="00000000" w:rsidDel="00000000">
        <w:rPr>
          <w:rtl w:val="0"/>
        </w:rPr>
        <w:t xml:space="preserve">vai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laukmali vai buferjoslu,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ierīkotā laukmale vai buferjosla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laukmaļu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buferjoslu kopējais minimālais platums ir vismaz 10 metru un maksimālais platums – 28 metri.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laukmali ūdensobjektu teritorijās, kurās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37.3.</w:t>
      </w:r>
      <w:r w:rsidR="00000000" w:rsidRPr="00000000" w:rsidDel="00000000">
        <w:rPr>
          <w:rtl w:val="0"/>
        </w:rPr>
        <w:t xml:space="preserve"> apakšpunktā</w:t>
      </w:r>
      <w:r w:rsidR="00000000" w:rsidRPr="00000000" w:rsidDel="00000000">
        <w:rPr>
          <w:rtl w:val="0"/>
        </w:rPr>
        <w:t xml:space="preserve"> neminētajā teritorijā, ja atbalstu saņem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laukmali,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veterinārārsts, kas saimniecībā sniedz veterinārmedicīnisko pakalpojumu, ievada Pārtikas un veterinārā dienesta informācijas sistēmā ziņas par dzīvniekiem kārtējā gadā lietoto antimikrobiālos līdzekļus saturošu zāļu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datu centra elektroniskajā datu sistēmā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novietnē ir elektrības padeves traucējumi, nodrošina alternatīvu enerģijas avotu – nepārtrauktu ūdens padevi, ja vien tā nenotiek, izmantojot ūdenstorni;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kūtsmēslus izvāc no novietnes vismaz divas reizes dienā vai dziļo pakaišu novietnē 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atbalsta pretendents līdz kārtējā gada 31. decembrim Lauku atbalsta dienestā iesniedz viena lopbarības veida analīzes un tādu attiecīgā ganāmpulka barības devu plānu, kas paredzēts slaucamām govīm vai gaļas liellopiem.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līdz kārtējā gada 31. decembrim iesniedz šo noteikumu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minēto prasību izpildes fotodokumentāciju, ja šāda prasība ir attiecināma.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gan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iekļauts Lauku atbalsta dienesta lauku bloka identifikācijas sistēmā, un tā maksimālais attālums no pastāvīgās novietnes vai pagaidu atrašanās vietas ir trīs kilometri.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centra datubāzē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datubāzē iesniegtie dati par bišu stropu skaitu pēc stāvokļa attiecīgā gada 1. maijā un 1. novembrī ir aktualizēti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w:t>
      </w:r>
      <w:r w:rsidR="00000000" w:rsidRPr="00000000" w:rsidDel="00000000">
        <w:rPr>
          <w:i w:val="1"/>
          <w:rtl w:val="0"/>
        </w:rPr>
        <w:t xml:space="preserve">euro</w:t>
      </w:r>
      <w:r w:rsidR="00000000" w:rsidRPr="00000000" w:rsidDel="00000000">
        <w:rPr>
          <w:rtl w:val="0"/>
        </w:rPr>
        <w:t xml:space="preserve"> – atbalsta pretendentam, kam ir izsniegts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savākt nopļauto sienu un aizvest: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katra atbalsttiesīgā lauka vēsturi uzturēt elektroniskajā Valsts augu aizsardzības dienesta Lauksaimniecībā izmantojamās zemes pārvaldības sistēmā, kurā atbalsta 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aktuālos ierakstus par katrā laukā īstenotajām darbībām, tostarp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šajos noteikumos noteiktajām zālāju biotopu apsaimniekošanas prasībām saistībā ar noteikto dzīvnieku blīvumu noganīšanai, pļavu mēslošanas nosacījumiem, divreizējo pļauju sezonā, zālāja atpūtināšanu vienu reizi saistību periodā, to nepļaujot un neganot, ciņu frēzēšanu un to saglabāšanas intensitāti, kā arī citām zālāju biotopu kvalitāti uzlabojošām darbībām, ko īsteno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uzlabot augu sugu sastāvu ar dabiska zālāja sēklām vai ar dabiska zālāja sēklu saturošu materiālu, kas iegūts Latvijā.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uzlabot zālāju kopšanas apstākļus, tos noecējot ar ganību ecēšām, izcirst krūmus zālāja malās vai ieplakās, frēzēt ciņus, izlīdzināt kurmju un mežacūku rakumus un uzecēt vai citādi uzirdināt augsnes virskārtu, lai aerētu augsni vai piesētu dabisku zālāju sēklas,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nemēslot ganības, kā arī papildus nemēslot pļavas ar digestātu, šķirdmēsliem vai vircu, bet, mēslojot ar pakaišu kūtsmēsliem, ievērot šo noteikumu </w:t>
      </w:r>
      <w:r w:rsidR="00000000" w:rsidRPr="00000000" w:rsidDel="00000000">
        <w:rPr>
          <w:rtl w:val="0"/>
        </w:rPr>
        <w:t xml:space="preserve">60.2.2.</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w:t>
      </w:r>
      <w:r w:rsidR="00000000" w:rsidRPr="00000000" w:rsidDel="00000000">
        <w:rPr>
          <w:rtl w:val="0"/>
        </w:rPr>
        <w:t xml:space="preserve"> apakšpunktā</w:t>
      </w:r>
      <w:r w:rsidR="00000000" w:rsidRPr="00000000" w:rsidDel="00000000">
        <w:rPr>
          <w:rtl w:val="0"/>
        </w:rPr>
        <w:t xml:space="preserve"> minēto prasību par ekstensīvo ganīšanu, atbalsta saņēmējs ganīšanai izmanto zālēdājus dzīvniekus un nodrošina optimālu ganīšanas režīmu, dzīvnieku blīvumam nepārsniedzot 0,9 nosacītās liellopu vienības uz vienu hektāru vidēji ganību sezonā. Nepietiekami noganītā platība tiek nopļauta. Dzīvnieku blīvumu aprēķina atbilstoši normatīvajiem aktiem par tiešo maksājumu piešķiršanu. Pēc šo noteikumu </w:t>
      </w:r>
      <w:r w:rsidR="00000000" w:rsidRPr="00000000" w:rsidDel="00000000">
        <w:rPr>
          <w:rtl w:val="0"/>
        </w:rPr>
        <w:t xml:space="preserve">60.1.2.</w:t>
      </w:r>
      <w:r w:rsidR="00000000" w:rsidRPr="00000000" w:rsidDel="00000000">
        <w:rPr>
          <w:rtl w:val="0"/>
        </w:rPr>
        <w:t xml:space="preserve"> apakšpunktā</w:t>
      </w:r>
      <w:r w:rsidR="00000000" w:rsidRPr="00000000" w:rsidDel="00000000">
        <w:rPr>
          <w:rtl w:val="0"/>
        </w:rPr>
        <w:t xml:space="preserve"> minētās darbības izpildes atālu var noganīt.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kūlas slāņa un koku un krūmu atvašu. Šādu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atbalsta saņēmējs izpilda šo noteikumu </w:t>
      </w:r>
      <w:r w:rsidR="00000000" w:rsidRPr="00000000" w:rsidDel="00000000">
        <w:rPr>
          <w:rtl w:val="0"/>
        </w:rPr>
        <w:t xml:space="preserve">60.1.2.2.</w:t>
      </w:r>
      <w:r w:rsidR="00000000" w:rsidRPr="00000000" w:rsidDel="00000000">
        <w:rPr>
          <w:rtl w:val="0"/>
        </w:rPr>
        <w:t xml:space="preserve"> apakšpunktā</w:t>
      </w:r>
      <w:r w:rsidR="00000000" w:rsidRPr="00000000" w:rsidDel="00000000">
        <w:rPr>
          <w:rtl w:val="0"/>
        </w:rPr>
        <w:t xml:space="preserve"> noteiktās putnu dzīvotņu apsaimniekošanas prasības. Atbalstu saņem par katru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noteikto zālāja klasi atsevišķi. Ja šo noteikumu </w:t>
      </w:r>
      <w:r w:rsidR="00000000" w:rsidRPr="00000000" w:rsidDel="00000000">
        <w:rPr>
          <w:rtl w:val="0"/>
        </w:rPr>
        <w:t xml:space="preserve">59.2.5.</w:t>
      </w:r>
      <w:r w:rsidR="00000000" w:rsidRPr="00000000" w:rsidDel="00000000">
        <w:rPr>
          <w:rtl w:val="0"/>
        </w:rPr>
        <w:t xml:space="preserve"> apakšpunktā</w:t>
      </w:r>
      <w:r w:rsidR="00000000" w:rsidRPr="00000000" w:rsidDel="00000000">
        <w:rPr>
          <w:rtl w:val="0"/>
        </w:rPr>
        <w:t xml:space="preserve"> minētā platība pārklājas ar šo noteikumu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dzīvnieku blīvums tiek nodrošināts ar briežu sugas dzīvniekiem – 0,3 nosacītās liellopu vienības uz vienu hektāru. Dzīvnieku blīvumu aprēķina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ganāmpulkā nodrošināt bioloģiski sertificētu slaucamo piena liellopu (pēc to izmantošanas veida) vai citu dzīvnieku (izņemot bites, zirgu un briežu dzimtas dzīvniekus) vidējo blīvumu vismaz 1,0 nosacītā liellopu vienība uz vienu hektāru. Dzīvnieku blīvumu aprēķina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w:t>
      </w:r>
      <w:r w:rsidR="00000000" w:rsidRPr="00000000" w:rsidDel="00000000">
        <w:rPr>
          <w:rtl w:val="0"/>
        </w:rPr>
        <w:t xml:space="preserve"> apakšpunktā</w:t>
      </w:r>
      <w:r w:rsidR="00000000" w:rsidRPr="00000000" w:rsidDel="00000000">
        <w:rPr>
          <w:rtl w:val="0"/>
        </w:rPr>
        <w:t xml:space="preserve"> neminētajos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 </w:t>
      </w:r>
      <w:r w:rsidR="00000000" w:rsidRPr="00000000" w:rsidDel="00000000">
        <w:rPr>
          <w:rtl w:val="0"/>
        </w:rPr>
        <w:t xml:space="preserve">– par tauriņziežu (tostarp pākšaugu un vairāk nekā 50 procentu apjomā tauriņziežu aizņemtu zālāju, kā arī citu kultūraugu platību ar tauriņziežu pasēju vairāk nekā 50 procentu apjomā)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w:t>
      </w:r>
      <w:r w:rsidR="00000000" w:rsidRPr="00000000" w:rsidDel="00000000">
        <w:rPr>
          <w:rtl w:val="0"/>
        </w:rPr>
        <w:t xml:space="preserve"> apakšpunktā</w:t>
      </w:r>
      <w:r w:rsidR="00000000" w:rsidRPr="00000000" w:rsidDel="00000000">
        <w:rPr>
          <w:rtl w:val="0"/>
        </w:rPr>
        <w:t xml:space="preserve"> minētā prasība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95 </w:t>
      </w:r>
      <w:r w:rsidR="00000000" w:rsidRPr="00000000" w:rsidDel="00000000">
        <w:rPr>
          <w:i w:val="1"/>
          <w:rtl w:val="0"/>
        </w:rPr>
        <w:t xml:space="preserve">euro</w:t>
      </w:r>
      <w:r w:rsidR="00000000" w:rsidRPr="00000000" w:rsidDel="00000000">
        <w:rPr>
          <w:rtl w:val="0"/>
        </w:rPr>
        <w:t xml:space="preserve"> – par zālāju platību, kuru izmanto piena lopkopībā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neminētā lopkopības jomā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noteiktā 8. LLVS standarta prasību izpildi, ja papuves platība aizņem vairāk nekā 25 procentus no kopējās saimniecības aramzemes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var kumulēt ar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w:t>
      </w:r>
      <w:r w:rsidR="00000000" w:rsidRPr="00000000" w:rsidDel="00000000">
        <w:rPr>
          <w:rtl w:val="0"/>
        </w:rPr>
        <w:t xml:space="preserve"> 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w:t>
      </w:r>
      <w:r w:rsidR="00000000" w:rsidRPr="00000000" w:rsidDel="00000000">
        <w:rPr>
          <w:rtl w:val="0"/>
        </w:rPr>
        <w:t xml:space="preserve"> 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par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ilggadīgo zālāju platību, kas vienlaikus ir arī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minētā platība,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w:t>
      </w:r>
      <w:r w:rsidR="00000000" w:rsidRPr="00000000" w:rsidDel="00000000">
        <w:rPr>
          <w:b w:val="1"/>
          <w:i w:val="1"/>
          <w:rtl w:val="0"/>
        </w:rPr>
        <w:t xml:space="preserve">Natura 2000 </w:t>
      </w:r>
      <w:r w:rsidR="00000000" w:rsidRPr="00000000" w:rsidDel="00000000">
        <w:rP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2. panta 59. punktu tas brīdī, kad tiek pieņemts lēmums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w:t>
      </w:r>
      <w:r w:rsidR="00000000" w:rsidRPr="00000000" w:rsidDel="00000000">
        <w:rPr>
          <w:rtl w:val="0"/>
        </w:rPr>
        <w:t xml:space="preserve"> 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minēto platību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Īpašie nosacījumi aktivitātei "Kompensācijas maksājums par </w:t>
      </w:r>
      <w:r w:rsidR="00000000" w:rsidRPr="00000000" w:rsidDel="00000000">
        <w:rPr>
          <w:b w:val="1"/>
          <w:i w:val="1"/>
          <w:rtl w:val="0"/>
        </w:rPr>
        <w:t xml:space="preserve">Natura 2000</w:t>
      </w:r>
      <w:r w:rsidR="00000000" w:rsidRPr="00000000" w:rsidDel="00000000">
        <w:rP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2. panta 14. punktu tas brīdī, kad tiek pieņemts lēmums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w:t>
      </w:r>
      <w:r w:rsidR="00000000" w:rsidRPr="00000000" w:rsidDel="00000000">
        <w:rPr>
          <w:rtl w:val="0"/>
        </w:rPr>
        <w:t xml:space="preserve"> apakšpunktā</w:t>
      </w:r>
      <w:r w:rsidR="00000000" w:rsidRPr="00000000" w:rsidDel="00000000">
        <w:rPr>
          <w:rtl w:val="0"/>
        </w:rPr>
        <w:t xml:space="preserve"> tā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platību var kumulēt ar atbalstu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saņēmējs ir mākslīgi radījis priekšrocību iegūšanai vajadzīgos apstākļus, atbalstu nepiešķir vai pilnībā atprasa.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notikušajās pārbaudēs, Lauku atbalsta dienests pieņem lēmumu par atbalsta piešķiršanu vai atteikumu piešķirt atbalstu. Lauku atbalsta dienests ik gadu izvērtē vismaz 10 procentu no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pirmo atbalsta maksājuma daļu izmaksā avansā, nepārsniedzot 75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w:t>
      </w:r>
      <w:r w:rsidR="00000000" w:rsidRPr="00000000" w:rsidDel="00000000">
        <w:rPr>
          <w:rtl w:val="0"/>
        </w:rPr>
        <w:t xml:space="preserve"> apakšpunktā</w:t>
      </w:r>
      <w:r w:rsidR="00000000" w:rsidRPr="00000000" w:rsidDel="00000000">
        <w:rPr>
          <w:rtl w:val="0"/>
        </w:rPr>
        <w:t xml:space="preserve"> minēto prasību izpildi, atbalsta pretendents iesniedz elektroniski Lauku atbalsta dienestā līdz kārtējā gada 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un </w:t>
      </w:r>
      <w:r w:rsidR="00000000" w:rsidRPr="00000000" w:rsidDel="00000000">
        <w:rPr>
          <w:rtl w:val="0"/>
        </w:rPr>
        <w:t xml:space="preserve">40.3.</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Lauku atbalsta dienesta pieprasījuma sniedz informāciju par šo noteikumu </w:t>
      </w:r>
      <w:r w:rsidR="00000000" w:rsidRPr="00000000" w:rsidDel="00000000">
        <w:rPr>
          <w:rtl w:val="0"/>
        </w:rPr>
        <w:t xml:space="preserve">60.2.</w:t>
      </w:r>
      <w:r w:rsidR="00000000" w:rsidRPr="00000000" w:rsidDel="00000000">
        <w:rPr>
          <w:rtl w:val="0"/>
        </w:rPr>
        <w:t xml:space="preserve"> un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55.2.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56.1.</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līdz kārtējā gada 1. oktobrim iesniedz pārskatu par saimniecībā esošo dzīvnieku skaitu, to izsakot nosacītās liellopu vienībās kā vidējo svērto vienību ganību sezonā dalījumā pa dzīvnieku grupām, tostarp informāciju par bišu stropiem, atbilstoši normatīvajiem aktiem par tiešo maksājumu piešķiršanu;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informāciju par dzīvniekiem, tostarp pārskatu par saimniecībā esošo dzīvnieku skaitu,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dzimis teļš, kas nav vecāks par sešiem mēnešiem;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pārskatu par saimniecībā esošo bišu stropu skaitu, to izsakot kā vidējo svērto vienību ganību sezonā, papildus norādot, vai bites ir iekļautas bioloģiskās kontroles sistēmā;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48.3.</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pārbaudei.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 pienākuma izpildi. 2023. gadā tiek pārbaudīti vismaz pieci procenti atbalsta pretendentu, bet turpmākajos gados – vismaz 10 procenti.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108.2.</w:t>
      </w:r>
      <w:r w:rsidR="00000000" w:rsidRPr="00000000" w:rsidDel="00000000">
        <w:rPr>
          <w:rtl w:val="0"/>
        </w:rPr>
        <w:t xml:space="preserve"> apakšpunktā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23-TA-2577</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23-TA-2577</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noteikumu_konsolidētā_versija_23-TA-2577.docx</dc:title>
</cp:coreProperties>
</file>

<file path=docProps/custom.xml><?xml version="1.0" encoding="utf-8"?>
<Properties xmlns="http://schemas.openxmlformats.org/officeDocument/2006/custom-properties" xmlns:vt="http://schemas.openxmlformats.org/officeDocument/2006/docPropsVTypes"/>
</file>