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 augusta noteikumos Nr. 518 "Noteikumi par sēklas kapitāla, sākuma kapitāla un izaugsmes kapitāla fondiem saimnieciskās darbības veicēju izveides, attīstības un konkurētspējas veicināšanai" (Latvijas Vēstnesis, 2016, 154. nr.; 2018, 7., 90. nr.; 2020, 175.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tie atbilst grūtībās nonākuša uzņēmuma statusam saskaņā ar Komisijas regulas Nr. 651/2014 2. panta 18. punktā noteikto definīciju, izņemot gadījumu, ja saimnieciskās darbības veicējs 2019. gada 31. decembrī vēl nebija nonācis finanšu grūtībās saskaņā ar Komisijas regulas Nr. 651/2014 2. panta 18. punktā noteikto definīciju, taču kļuva par grūtībās nonākušu laikposmā, kas minēts Komisijas regulas Nr. 651/2014 1. panta 4. punkta "c" apakšpunktā, un turpina būt finanšu grūtībās, ja atbalsts tiek finansēts no atmaksātā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tie atbilst grūtībās nonākuša uzņēmuma statusam saskaņā ar Komisijas regulas Nr.  651/2014 2. panta 18. punktā noteikto definīciju, ja atbalsts tiek finansēts no Eiropas Reģionālās attīstības fonda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Ja tiek pārkāptas Komisijas regulas Nr. 651/2014 prasības, atbalsta saņēmējam ir pienākums atmaksāt atbalsta sniedzējam visu projekta ietvaros saņemto nelikumīgo atbalstu no līdzekļiem, kas ir brīvi no valsts atbalsta, kopā ar procentiem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21-TA-1647</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21-TA-1647</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noteikumu_(grozījumu)_projekts_21-TA-1647.docx</dc:title>
</cp:coreProperties>
</file>

<file path=docProps/custom.xml><?xml version="1.0" encoding="utf-8"?>
<Properties xmlns="http://schemas.openxmlformats.org/officeDocument/2006/custom-properties" xmlns:vt="http://schemas.openxmlformats.org/officeDocument/2006/docPropsVTypes"/>
</file>