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11.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91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Programmas "Starptautiskā policijas sadarbība un noziedzības apkarošana" sasniedzamie rezultāti un iznākuma rādītāju vērtības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2239"/>
        <w:gridCol w:w="3676"/>
        <w:gridCol w:w="898"/>
        <w:gridCol w:w="1089"/>
        <w:tblGridChange w:id="0">
          <w:tblGrid>
            <w:gridCol w:w="1377"/>
            <w:gridCol w:w="2239"/>
            <w:gridCol w:w="3676"/>
            <w:gridCol w:w="898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līnija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Sasniedzamā vērtība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rezultāts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Paaugstināta ekonomisko noziegumu novēršanas un apkarošanas efektivitāte (PA20)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Pilnveidoti nacionālie politikas dokumenti un normatīvie akti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Kriminālvajāšanai nodoto izmeklēto ekonomisko noziegumu krimināllietu skaits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Kriminālistikas ekspertīzes, kas ilgst vairāk nekā 30 dienas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Ikgadējais skaidras naudas konfiskācijas gadījumu skaits uz robežām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Ekonomisko noziegumu apkarošanas pārvaldes (turpmāk – ENAP) izmeklējamo krimināllietu skaits uz vienu izmeklētāju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Aktualizētas un pilnveidotas tiesu ekspertīžu metodes saskaņā ar ES praksi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starpinstitucionālā sadarbība ekonomisko noziegumu apkarošanā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Izveidota vienota IT sistēma ekonomisko noziegumu apkarošanai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Uzlaboti pretkorupcijas mehānismi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Izveidota tiešsaistes trauksmes cēlēju ziņošanas platforma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Organizētas sabiedrības izpratni un informētību veicinošas kampaņas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darbinieki, kuri pilda amata pienākumus korupcijas novēršanā un apkarošanā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ekonomisko noziegumu izmeklēšana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kriminālistikas laboratoriju infrastruktūra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Ieviesta jauna kriminālistikas ekspertīzes metode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Stiprināta to iestāžu kapacitāte, kuras ir atbildīgas par ekonomisko noziegumu novēršanu un apkarošanu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cīņai ar ekonomiskajiem noziegumiem un korupciju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Paplašināta un uzlabota ENAP infrastruktūra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 iznākums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Stiprināta to iestāžu kapacitāte, kuras ir atbildīgas par noziedzīgi iegūtu līdzekļu legalizācijas ierobežošanu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Stiprināta to iestāžu kapacitāte, kuras ir atbildīgas par pārrobežu ekonomisko noziegumu apkarošanu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robežšķērsošanas vietas "Terehova" infrastruktūra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VID infrastruktūra kinoloģijas jomā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Stiprināta tiesu ekspertīžu iestāžu (VPKP, VTEB, VTMEC) kapacitāte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Atjaunots un uzlabots tehnoloģiskais nodrošinājums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rezultāts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bērnu aizsardzības sistēma (PA22)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Pilnveidoti nacionālās politikas dokumenti un normatīvie akti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Ieviests </w:t>
            </w:r>
            <w:r w:rsidR="00000000" w:rsidRPr="00000000" w:rsidDel="00000000">
              <w:rPr>
                <w:i w:val="1"/>
                <w:rtl w:val="0"/>
              </w:rPr>
              <w:t xml:space="preserve">Barnahus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Īstenotas informētības veicināšanas kampaņas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Uzlabotas telpas (saskaņā ar t. s. Eiropas </w:t>
            </w:r>
            <w:r w:rsidR="00000000" w:rsidRPr="00000000" w:rsidDel="00000000">
              <w:rPr>
                <w:i w:val="1"/>
                <w:rtl w:val="0"/>
              </w:rPr>
              <w:t xml:space="preserve">Barnahus</w:t>
            </w:r>
            <w:r w:rsidR="00000000" w:rsidRPr="00000000" w:rsidDel="00000000">
              <w:rPr>
                <w:rtl w:val="0"/>
              </w:rPr>
              <w:t xml:space="preserve"> kvalitātes standartiem)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Attīstīts multidisciplinārais starpinstitucionālais pakalpojumu modelis bērniem, kas cietuši no vardarbības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Divpusējās sadarbības rezultāts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policijas, starptautisko organizāciju un pašvaldību sadarbība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Uzticības līmenis starp saņēmējvalsts un donorvalstu iestādēm (skalā 1–7)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noteikts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4,5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Apmierinātība ar partnerību (skalā 1–7)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noteikts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4,5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Iestādes, kas izmanto divpusējā sadarbībā iegūtās zināšanas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50 %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Divpusējās sadarbības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Atbalstīti divpusējie sadarbības tīkli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Organizēti kopīgi saņēmējvalsts un donorvalstu iestāžu mācību kursi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projekti, kas ietver sadarbību ar donorvalsts projekta partneri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Dalībnieku skaits no saņēmējvalsts, kas iesaistījušies pieredzes apmaiņā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Dalībnieku skaits no donorvalstīm, kas iesaistījušies pieredzes apmaiņā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23-TA-1106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23-TA-1106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noteikumu_(grozījumu)_projekts_p_23-TA-1106.docx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