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w:t>
      </w:r>
      <w:r>
        <w:br/>
      </w:r>
      <w:r w:rsidR="00000000" w:rsidRPr="00000000" w:rsidDel="00000000">
        <w:rPr>
          <w:rStyle w:val="paragraph"/>
          <w:i w:val="1"/>
          <w:rtl w:val="0"/>
        </w:rPr>
        <w:t xml:space="preserve">2. panta 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w:t>
      </w:r>
      <w:r>
        <w:br/>
      </w:r>
      <w:r w:rsidR="00000000" w:rsidRPr="00000000" w:rsidDel="00000000">
        <w:rPr>
          <w:rStyle w:val="paragraph"/>
          <w:i w:val="1"/>
          <w:rtl w:val="0"/>
        </w:rPr>
        <w:t xml:space="preserve">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22.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4. aprīļa noteikumos Nr. 199 "Noteikumi par dabasgāzes apriti un akcīzes nodokļa piemērošanas kārtību" (Latvijas Vēstnesis, 2017, 76. nr.; 2021, 52. nr.; 2022, 20. nr.; 2025, 103.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Dabasgāzes kā degvielas tirgotāju uzskata par galalietotāju šo noteikumu izpratnē, ja tas no dabasgāzes tirgotāja vai apstiprināta noliktavas turētāja darbībām ar dabasgāzi saņem dabasgāzi realizācijai mazumtirdzniecībā kā degvielu."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Galalietotājs nodrošina darbību vai izmaksu nošķiršanu saskaņā ar regulas Nr. 651/2014 1. panta 3. punktu, ja galalietotājs vienlaikus izmanto dabasgāzi gan izslēgtajās nozarēs, gan nozarēs, uz kurām attiecas regulas Nr. 651/2014 darbības 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70.</w:t>
      </w:r>
      <w:r w:rsidR="00000000" w:rsidRPr="00000000" w:rsidDel="00000000">
        <w:rPr>
          <w:vertAlign w:val="superscript"/>
          <w:rtl w:val="0"/>
        </w:rPr>
        <w:t xml:space="preserve">6</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6</w:t>
      </w:r>
      <w:r w:rsidR="00000000" w:rsidRPr="00000000" w:rsidDel="00000000">
        <w:rPr>
          <w:rtl w:val="0"/>
        </w:rPr>
        <w:t xml:space="preserve">3. kurš ietilpst saistīto uzņēmumu grupā, iesniedz grupas konsolidēto gada pārskatu, ja tas nav publiski pieejams."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1. izvērtē galalietotāja iesniegumā norādīto informāciju un galalietotāja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 Ja galalietotājs izmanto dabasgāzi rūpnieciskās ražošanas un citos ar ražošanu saistītos procesos, izņemot izmantošanu Eiropas Parlamenta un Padomes 2006. gada 20. decembra Regulas (EK) Nr. 1893/2006, ar ko izveido NACE 2. red. saimniecisko darbību statistisko klasifikāciju, kā arī groza Padomes Regulu (EEK) Nr. 3037/90 un dažas EK regulas par īpašām statistikas jomām (turpmāk – regula Nr. 1893/2006), I pielikuma C sadaļas "Apstrādes rūpniecība" 10., 11. un 16. nodaļā minētajām saimnieciskajām darbībām, Lauku atbalsta dienests triju darbdienu laikā pārsūta iesniegumu Valsts vides dienestam atzinuma sniegšanai par galalietotāja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 Valsts vides dienests 20 dienu laikā pēc iesnieguma saņemšanas izvērtē galalietotāja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 un nosūta atzinumu Lauku atbalsta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4. lēmumu paziņo galalietotājam;".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5. publicē informāciju Lauku atbalsta dienesta mājaslapā: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5.1. par dabasgāzes galaietotājiem, kuru teritorijā atrodas galalietotāji, kas saņem dabasgāzi, kurai piemēro likuma 15.1 panta pirmās daļas 4. vai 5. punktā noteikto nodokļa likmi;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5.2. par dabasgāzes galalietotājiem, kuriem piešķirtas tiesības uz pieciem gadiem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konkrēti norādot, kuru no likuma 15.</w:t>
      </w:r>
      <w:r w:rsidR="00000000" w:rsidRPr="00000000" w:rsidDel="00000000">
        <w:rPr>
          <w:vertAlign w:val="superscript"/>
          <w:rtl w:val="0"/>
        </w:rPr>
        <w:t xml:space="preserve">1</w:t>
      </w:r>
      <w:r w:rsidR="00000000" w:rsidRPr="00000000" w:rsidDel="00000000">
        <w:rPr>
          <w:rtl w:val="0"/>
        </w:rPr>
        <w:t xml:space="preserve"> panta pirmā daļā noteiktajām nodokļa likmēm galalietotājam ir tiesības piemērot."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70.2,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78.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2</w:t>
      </w:r>
      <w:r w:rsidR="00000000" w:rsidRPr="00000000" w:rsidDel="00000000">
        <w:rPr>
          <w:rtl w:val="0"/>
        </w:rPr>
        <w:t xml:space="preserve"> Gadījumā, ja normatīvajos aktos, kas nosaka dabasgāzes tirdzniecības un lietošanas nosacījumus, noteiktajā kārtībā tiek konstatēta galalietotājam piegādātās dabasgāzes starpība par iepriekšējiem taksācijas periodiem, dabasgāzes tirgotājs akcīzes nodokli par galalietotājam piegādātās dabasgāzes starpību aprēķina pēc akcīzes nodokļa likmes, kura ir spēkā starpības konstatēšanas brīdī un akcīzes nodokļa aprēķinu iekļauj tā taksācijas perioda dabasgāzes akcīzes nodokļa deklarācijā, kad tika konstatēta starpība."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26-TA-542</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26-TA-542</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noteikumu_(grozījumu)_projekts_26-TA-542.docx</dc:title>
</cp:coreProperties>
</file>

<file path=docProps/custom.xml><?xml version="1.0" encoding="utf-8"?>
<Properties xmlns="http://schemas.openxmlformats.org/officeDocument/2006/custom-properties" xmlns:vt="http://schemas.openxmlformats.org/officeDocument/2006/docPropsVTypes"/>
</file>