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15. martā (prot. Nr. 11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"Būdžas"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"Būdžas" (nekustamā īpašuma kadastra Nr. 4046 011 0009) daļu – zemes vienību (zemes vienības kadastra apzīmējums 4046 011 0123) 3,74 ha platībā, zemes vienību (zemes vienības kadastra apzīmējums 4046 011 0124) 0,0786 ha platībā, zemes vienību (zemes vienības kadastra apzīmējums 4046 011 0125) 0,0372 ha platībā, zemes vienību (zemes vienības kadastra apzīmējums 4046 011 0126) 0,0055 ha platībā un zemes vienību (zemes vienības kadastra apzīmējums 4046 011 0127) 0,1671 ha platībā – Brunavas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24-TA-134</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24-TA-134</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rīkojuma_projekts_24-TA-134.docx</dc:title>
</cp:coreProperties>
</file>

<file path=docProps/custom.xml><?xml version="1.0" encoding="utf-8"?>
<Properties xmlns="http://schemas.openxmlformats.org/officeDocument/2006/custom-properties" xmlns:vt="http://schemas.openxmlformats.org/officeDocument/2006/docPropsVTypes"/>
</file>