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12. maijā (prot. Nr. 27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 (Latvijas Vēstnesis, 2023, 179., 242. nr.; 2024, 144.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Pasākuma ietvaros plānotais un pieejamais kopējais attiecināmais finansējums ir 36 684 790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31 182 071 </w:t>
      </w:r>
      <w:r w:rsidR="00000000" w:rsidRPr="00000000" w:rsidDel="00000000">
        <w:rPr>
          <w:i w:val="1"/>
          <w:rtl w:val="0"/>
        </w:rPr>
        <w:t xml:space="preserve">euro</w:t>
      </w:r>
      <w:r w:rsidR="00000000" w:rsidRPr="00000000" w:rsidDel="00000000">
        <w:rPr>
          <w:rtl w:val="0"/>
        </w:rPr>
        <w:t xml:space="preserve"> (no tā 2 526 446 </w:t>
      </w:r>
      <w:r w:rsidR="00000000" w:rsidRPr="00000000" w:rsidDel="00000000">
        <w:rPr>
          <w:i w:val="1"/>
          <w:rtl w:val="0"/>
        </w:rPr>
        <w:t xml:space="preserve">euro</w:t>
      </w:r>
      <w:r w:rsidR="00000000" w:rsidRPr="00000000" w:rsidDel="00000000">
        <w:rPr>
          <w:rtl w:val="0"/>
        </w:rPr>
        <w:t xml:space="preserve"> – valsts budžeta finansējums, kas pārsniedz pasākumam pieejamo Eiropas Reģionālās attīstības fonda finansējumu) un nacionālais finansējums – 5 502 719 </w:t>
      </w:r>
      <w:r w:rsidR="00000000" w:rsidRPr="00000000" w:rsidDel="00000000">
        <w:rPr>
          <w:i w:val="1"/>
          <w:rtl w:val="0"/>
        </w:rPr>
        <w:t xml:space="preserve">euro</w:t>
      </w:r>
      <w:r w:rsidR="00000000" w:rsidRPr="00000000" w:rsidDel="00000000">
        <w:rPr>
          <w:rtl w:val="0"/>
        </w:rPr>
        <w:t xml:space="preserve"> (valsts budžeta līdzfinansējums – 4 620 366 </w:t>
      </w:r>
      <w:r w:rsidR="00000000" w:rsidRPr="00000000" w:rsidDel="00000000">
        <w:rPr>
          <w:i w:val="1"/>
          <w:rtl w:val="0"/>
        </w:rPr>
        <w:t xml:space="preserve">euro </w:t>
      </w:r>
      <w:r w:rsidR="00000000" w:rsidRPr="00000000" w:rsidDel="00000000">
        <w:rPr>
          <w:rtl w:val="0"/>
        </w:rPr>
        <w:t xml:space="preserve">un pašvaldības līdzfinansējums – 882 353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Pasākumu īsteno divās atlases kārtās ar šādu finansējuma sadalījumu: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 pirmajā atlases kārtā pieejamais kopējais attiecināmais finansējums ir 26 409 494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22 448 070 </w:t>
      </w:r>
      <w:r w:rsidR="00000000" w:rsidRPr="00000000" w:rsidDel="00000000">
        <w:rPr>
          <w:i w:val="1"/>
          <w:rtl w:val="0"/>
        </w:rPr>
        <w:t xml:space="preserve">euro </w:t>
      </w:r>
      <w:r w:rsidR="00000000" w:rsidRPr="00000000" w:rsidDel="00000000">
        <w:rPr>
          <w:rtl w:val="0"/>
        </w:rPr>
        <w:t xml:space="preserve">(no tā 2 365 577 </w:t>
      </w:r>
      <w:r w:rsidR="00000000" w:rsidRPr="00000000" w:rsidDel="00000000">
        <w:rPr>
          <w:i w:val="1"/>
          <w:rtl w:val="0"/>
        </w:rPr>
        <w:t xml:space="preserve">euro </w:t>
      </w:r>
      <w:r w:rsidR="00000000" w:rsidRPr="00000000" w:rsidDel="00000000">
        <w:rPr>
          <w:rtl w:val="0"/>
        </w:rPr>
        <w:t xml:space="preserve">– valsts budžeta finansējums, kas pārsniedz pasākumam pieejamo Eiropas Reģionālās attīstības fonda finansējumu) un nacionālais finansējums – 3 961 424 </w:t>
      </w:r>
      <w:r w:rsidR="00000000" w:rsidRPr="00000000" w:rsidDel="00000000">
        <w:rPr>
          <w:i w:val="1"/>
          <w:rtl w:val="0"/>
        </w:rPr>
        <w:t xml:space="preserve">euro </w:t>
      </w:r>
      <w:r w:rsidR="00000000" w:rsidRPr="00000000" w:rsidDel="00000000">
        <w:rPr>
          <w:rtl w:val="0"/>
        </w:rPr>
        <w:t xml:space="preserve">(valsts budžeta līdzfinansējums 3 079 071 </w:t>
      </w:r>
      <w:r w:rsidR="00000000" w:rsidRPr="00000000" w:rsidDel="00000000">
        <w:rPr>
          <w:i w:val="1"/>
          <w:rtl w:val="0"/>
        </w:rPr>
        <w:t xml:space="preserve">euro </w:t>
      </w:r>
      <w:r w:rsidR="00000000" w:rsidRPr="00000000" w:rsidDel="00000000">
        <w:rPr>
          <w:rtl w:val="0"/>
        </w:rPr>
        <w:t xml:space="preserve">un pašvaldības līdzfinansējums 882 353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otrajā atlases kārtā pieejamais kopējais attiecināmais finansējums ir 10 275 296 </w:t>
      </w:r>
      <w:r w:rsidR="00000000" w:rsidRPr="00000000" w:rsidDel="00000000">
        <w:rPr>
          <w:i w:val="1"/>
          <w:rtl w:val="0"/>
        </w:rPr>
        <w:t xml:space="preserve">euro</w:t>
      </w:r>
      <w:r w:rsidR="00000000" w:rsidRPr="00000000" w:rsidDel="00000000">
        <w:rPr>
          <w:rtl w:val="0"/>
        </w:rPr>
        <w:t xml:space="preserve">, tai skaitā Eiropas Reģionālās attīstības fonda finansējums – ne vairāk kā 8 734 001 </w:t>
      </w:r>
      <w:r w:rsidR="00000000" w:rsidRPr="00000000" w:rsidDel="00000000">
        <w:rPr>
          <w:i w:val="1"/>
          <w:rtl w:val="0"/>
        </w:rPr>
        <w:t xml:space="preserve">euro </w:t>
      </w:r>
      <w:r w:rsidR="00000000" w:rsidRPr="00000000" w:rsidDel="00000000">
        <w:rPr>
          <w:rtl w:val="0"/>
        </w:rPr>
        <w:t xml:space="preserve">(no tā 160 869 </w:t>
      </w:r>
      <w:r w:rsidR="00000000" w:rsidRPr="00000000" w:rsidDel="00000000">
        <w:rPr>
          <w:i w:val="1"/>
          <w:rtl w:val="0"/>
        </w:rPr>
        <w:t xml:space="preserve">euro </w:t>
      </w:r>
      <w:r w:rsidR="00000000" w:rsidRPr="00000000" w:rsidDel="00000000">
        <w:rPr>
          <w:rtl w:val="0"/>
        </w:rPr>
        <w:t xml:space="preserve">– valsts budžeta finansējums, kas pārsniedz pasākumam pieejamo Eiropas Reģionālās attīstības fonda finansējumu) un nacionālais finansējums – 1 541 295 </w:t>
      </w:r>
      <w:r w:rsidR="00000000" w:rsidRPr="00000000" w:rsidDel="00000000">
        <w:rPr>
          <w:i w:val="1"/>
          <w:rtl w:val="0"/>
        </w:rPr>
        <w:t xml:space="preserve">euro</w:t>
      </w:r>
      <w:r w:rsidR="00000000" w:rsidRPr="00000000" w:rsidDel="00000000">
        <w:rPr>
          <w:rtl w:val="0"/>
        </w:rPr>
        <w:t xml:space="preserve">, ko veido valsts budžeta līdzfinansējums."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Ja projektos (tai skaitā projektos, kuri īstenoti par valsts budžeta finansējumu, kas pārsniedz pasākumam pieejamo Eiropas Reģionālās attīstības fonda finansējumu) izveidojies finansējuma atlikums, to var novirzīt citiem projektiem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tas atbilst grūtībās nonākuša komersanta (grupas līmenī) statusam saskaņā ar regulas Nr. 651/2014 2. panta 18. punkta definīciju;".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32.8.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"32.8. nodrošina interešu konflikta neesību."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36.1.1.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36.1.2.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 projektu pamatojošās dokumentācijas sagatavošanas izmaksas, izņemot projekta iesnieguma veidlapas aizpildīšanas izmaksas, nepārsniedzot 10 procentus no projekta plānotajām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36.2.1. būvprojekta, būvniecības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36.2.2. kultūrvēsturiskās un arheoloģiskās izpētes un kultūrvēsturiskās inventarizācijas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36.2.3. ar kultūras mantojuma objektu saistītās ekspozīcijas (tai skaitā iekštelpu un ārtelpu ekspozīcijas) un tās tehniskā projekta izstrādes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36.2.4. audita, ekspertīzes un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36.2.5. izmaksu un ieguvumu analīzes izstrāde;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36.2.6. normatīvajos aktos par ietekmes uz vidi novērtējumu noteikto dokumentu sagatavošana;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36.2.7. ekspertu izmaksas, kas tieši saistītas ar investīcijām infrastruktūrā, būvuzraudzības, autoruzraudzības un arheoloģiskās uzraudzības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Plānojot projekta tiešās attiecināmās personāla atlīdzības izmaksas, pamatojoties uz darba līgumu vai rīkojumu par pretendenta iecelšanu ierēdņa amatā, finansējuma saņēmējs un sadarbības partneris nodrošina, ka projekta vadības personāls un projekta īstenošanas personāls tiek piesaistīts uz normālu darba laiku vai nepilnu darba laiku, tai skaitā atlīdzībai var piemērot daļlaika izmaksu attiecināmības principu. Ja personāla atlīdzībai piemēro daļlaika attiecināmības principu, finansējuma saņēmējs veic personāla darba laika uzskaiti par nostrādāto laiku un veiktajām funkcijām."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45.3.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"45.3. komercdarbības atbalsts netiek sniegts finansējuma saņēmējam un sadarbības partnerim (grupas līmenī), uz kuru attiecas līdzekļu atgūšanas rīkojums saskaņā ar iepriekšēju Eiropas Komisijas lēmumu, ar ko atbalsts tiek atzīts par nelikumīgu un nesaderīgu ar kopējo tirgu, atbilstoši regulas Nr. 651/2014 1. panta 4. punkta "a" apakšpunkta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 aizsardzības ministra pienākumu izpildītāja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26-TA-384</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26-TA-384</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noteikumu_(grozījumu)_projekts_26-TA-384.docx</dc:title>
</cp:coreProperties>
</file>

<file path=docProps/custom.xml><?xml version="1.0" encoding="utf-8"?>
<Properties xmlns="http://schemas.openxmlformats.org/officeDocument/2006/custom-properties" xmlns:vt="http://schemas.openxmlformats.org/officeDocument/2006/docPropsVTypes"/>
</file>