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Vides aizsardzības un reģionālās attīstības ministrijai finansējumu, kas nepārsniedz 12 997 832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izdevumus, kas pašvaldībām radušies, nodrošinot atbalstu Ukrainas civiliedzīvotājiem, tai skaitā izmitināšanas un ēdināšanas nodrošināšanai, sociālā atbalsta nodrošināšanai, izglītības nodrošināšanai un valsts pārvaldes pakalpojumu pieteikšanas atbalstam.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punktam</w:t>
      </w:r>
      <w:r w:rsidR="00000000" w:rsidRPr="00000000" w:rsidDel="00000000">
        <w:rPr>
          <w:rtl w:val="0"/>
        </w:rPr>
        <w:t xml:space="preserve"> 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pašvaldību faktiskie izdevumi līdz 2022. gada 30. aprīlim ir mazāki, nekā paredzēts, un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 minētais finansējums netiek izmantots pilnā apmērā,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 minēto finansējumu drīkst izmantot arī pašvaldību faktisko izdevumu segšanai pēc 2022. gada 30. aprīļa atbilstoši šā rīkojuma 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 noteiktajai kārtībai.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22-TA-1646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22-TA-1646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rīkojuma_konsolidētā_versija_22-TA-1646.docx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