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307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27. maijā (prot. Nr. 21 10.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2023. gada 13. jūlija noteikumos Nr. 403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4.2.2.7. pasākuma "Indukcijas gada ieviešana pedagogu sagatavošanas studiju programmās"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w:t>
      </w:r>
      <w:r>
        <w:br/>
      </w:r>
      <w:r w:rsidR="00000000" w:rsidRPr="00000000" w:rsidDel="00000000">
        <w:rPr>
          <w:rStyle w:val="paragraph"/>
          <w:i w:val="1"/>
          <w:rtl w:val="0"/>
        </w:rPr>
        <w:t xml:space="preserve">2021.–2027. gada plānošanas perioda vadības likuma</w:t>
      </w:r>
      <w:r>
        <w:br/>
      </w:r>
      <w:r w:rsidR="00000000" w:rsidRPr="00000000" w:rsidDel="00000000">
        <w:rPr>
          <w:rStyle w:val="paragraph"/>
          <w:i w:val="1"/>
          <w:rtl w:val="0"/>
        </w:rPr>
        <w:t xml:space="preserve">19. panta 6. un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2023. gada 13. jūlija noteikumos Nr. 403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4.2.2.7. pasākuma "Indukcijas gada ieviešana pedagogu sagatavošanas studiju programmās" īstenošanas noteikumi" (Latvijas Vēstnesis, 2023, 136.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2.1.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 indukcijas gads – pirmais vai otrais gads pēc skolotāja kvalifikācijas iegūšanas, kad tiek sniegts atbalsts pedagogu sagatavošanas studiju programmu absolventiem. Šo periodu var pagarināt par laikposmu līdz trim gadiem, ja tam ir objektīvi pamatots iemesls, piemēram, bērna kopšanas atvaļinājums vai pārejoša darbnespēja;".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Pasākuma mērķis ir sniegt atbalstu skolotāja kvalifikāciju ieguvušajiem pedagogu sagatavošanas studiju programmu absolventiem pēc studiju pabeigšanas, lai piesaistītu un noturētu pedagogus."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16.1.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"16.1. atbalsts pedagogu sagatavošanas studiju programmu absolventiem pēc skolotāja kvalifikācijas iegūšanas: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16.1.1. indukcijas gada dalībnieku piesaiste un atlase;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16.1.2. individuāls atbalsts profesionālās pilnveides grupās;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16.1.3. mācību stundu vērošana;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16.1.4. profesionālās kompetences pilnveides programmu izstrāde un īstenošana;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16.1.5. mērķstipendijas indukcijas gada dalībniekiem;".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18.4.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"18.4. transporta izmaksas (maksa par degvielu, maksa par sabiedriskā transporta izmantošanu) šo noteikumu 16.1.3. apakšpunktā minētās atbalstāmās darbības īstenošanai atbilstoši vadošās iestādes izstrādātajai metodikai "Vienas vienības izmaksu standarta likmes aprēķina un piemērošanas metodika 1 km izmaksām darbības programmas "Izaugsme un nodarbinātība" un Eiropas Savienības kohēzijas politikas programmas 2021.–2027. gadam īstenošanai";".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18.5.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"18.5. projekta komunikācijas un vizuālās identitātes prasību nodrošināšanas pasākumu izmaksas atbilstoši normatīvajiem aktiem, kas nosaka kārtību, kādā Eiropas Savienības fondu vadībā iesaistītās institūcijas nodrošina šo fondu ieviešanu 2021.–2027. gada plānošanas periodā, šo noteikumu 16.3. apakšpunktā minētās atbalstāmās darbības īstenošanai;".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26.1.3.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"26.1.3. pretendents ir pieteicies dalībai indukcijas gadā ne vēlāk kā divu gadu laikā pēc skolotāja kvalifikācijas iegūšanas. Pretendenta pieteikšanās termiņš var tikt pagarināts uz laiku līdz trim gadiem, vienlaikus ievērojot projekta īstenošanai paredzēto termiņu, ja pretendentam ir objektīvi pamatoti iemesli, piemēram, bērna kopšanas atvaļinājums vai pārejoša darbnespēja;".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28.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 Indukcijas gada dalībniekam atbalstu nodrošina vienu gadu. Atbalstu profesionālās pilnveides grupās un mērķstipendijas nodrošina no augusta līdz maijam, savukārt profesionālās kompetences pilnveides programmu apguvi nodrošina no septembra līdz maijam."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29.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 Projekta īstenošanas un ar skolotāju mentoru sagatavošanu saistīto jautājumu uzraudzībai Izglītības un zinātnes ministrija izveido projekta uzraudzības padomi, kurā uzaicina piedalīties Latvijas Nacionālā kultūras centra, Latvijas Studentu apvienības, Latvijas izglītības vadītāju asociācijas un Valsts izglītības attīstības aģentūras pārstāvjus, kā arī nozares ekspertus. Projekta uzraudzības padomes sastāvā novērotāju statusā var tikt iekļauti pārstāvji arī no citām organizācijām un institūcijām, tai skaitā no Centrālās finanšu un līgumu aģentūras. Padomes darbību nosaka Izglītības un zinātnes ministrijas izstrādāts un apstiprināts nolikums. Pirmo projekta uzraudzības padomes sēdi sasauc ne vēlāk kā trīs mēnešus pēc vienošanās par projekta īstenošanu noslēgšanas."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32.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 Publiskos iepirkumus finansējuma saņēmējs un sadarbības partneri veic atklātā, pārredzamā, nediskriminējošā un konkurenci nodrošinošā procedūrā saskaņā ar normatīvajiem aktiem publisko iepirkumu jomā, izvērtējot iespējas iepirkumiem piemērot sociāli atbildīgu publisko iepirkumu. Projekta ietvaros ir atbalstāma vides prasību un inovatīva risinājuma integrēšana preču un pakalpojuma iepirkumos (zaļais publiskais iepirkums un inovāciju publiskais iepirkums)."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34.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 Finansējuma saņēmējs nodrošina komunikācijas un vizuālās identitātes prasību nodrošināšanas pasākumus saskaņā ar regulas Nr. 2021/1060 47. un 50. pantu un normatīvajiem aktiem, kas nosaka kārtību, kādā Eiropas Savienības fondu vadībā iesaistītās institūcijas nodrošina šo fondu ieviešanu 2021.–2027. gada plānošanas periodā."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Svītrot 36.3.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39.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"39. Finansējuma saņēmējs un sadarbības partneri nodrošina interešu konflikta neesību saskaņā ar Eiropas Parlamenta un Padomes 2024. gada 23. septembra Regulas (ES, </w:t>
      </w:r>
      <w:r w:rsidR="00000000" w:rsidRPr="00000000" w:rsidDel="00000000">
        <w:rPr>
          <w:i w:val="1"/>
          <w:rtl w:val="0"/>
        </w:rPr>
        <w:t xml:space="preserve">Euratom</w:t>
      </w:r>
      <w:r w:rsidR="00000000" w:rsidRPr="00000000" w:rsidDel="00000000">
        <w:rPr>
          <w:rtl w:val="0"/>
        </w:rPr>
        <w:t xml:space="preserve">) 2024/2509 par finanšu noteikumiem, ko piemēro Savienības vispārējam budžetam (pārstrādāta redakcija), 61. panta prasībām, kā arī paraksta interešu konflikta neesības apliecinājumu."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D. Melbārde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25-TA-664</w:t>
    </w:r>
    <w:r>
      <w:br/>
    </w:r>
    <w:r w:rsidR="00000000" w:rsidRPr="00000000" w:rsidDel="00000000">
      <w:rPr>
        <w:rtl w:val="0"/>
      </w:rPr>
      <w:t xml:space="preserve">Izdrukāts 29.07.2026. 23.51 - 1.0.VK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25-TA-664</w:t>
    </w:r>
    <w:r>
      <w:br/>
    </w:r>
    <w:r w:rsidR="00000000" w:rsidRPr="00000000" w:rsidDel="00000000">
      <w:rPr>
        <w:rtl w:val="0"/>
      </w:rPr>
      <w:t xml:space="preserve">Izdrukāts 29.07.2026. 23.51 - 1.0.VK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noteikumu_(grozījumu)_projekts_25-TA-664.docx</dc:title>
</cp:coreProperties>
</file>

<file path=docProps/custom.xml><?xml version="1.0" encoding="utf-8"?>
<Properties xmlns="http://schemas.openxmlformats.org/officeDocument/2006/custom-properties" xmlns:vt="http://schemas.openxmlformats.org/officeDocument/2006/docPropsVTypes"/>
</file>