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Ministru kabineta 2025. gada 21. janvāra sēdes protokollēmuma (prot. Nr. 3 28. §) "Rīkojuma projekts "Par koku ciršanas maksimāli pieļaujamo apjomu 2026.–2030. gadam"" 3. punktā dotā uzdevuma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iesniegto informāciju, noteikt, ka Viedās administrācijas un reģionālās attīstības ministrija nodrošina īpaši aizsargājamo teritoriju </w:t>
      </w:r>
      <w:r w:rsidR="00000000" w:rsidRPr="00000000" w:rsidDel="00000000">
        <w:rPr>
          <w:i w:val="1"/>
          <w:rtl w:val="0"/>
        </w:rPr>
        <w:t xml:space="preserve">Natura 2000 </w:t>
      </w:r>
      <w:r w:rsidR="00000000" w:rsidRPr="00000000" w:rsidDel="00000000">
        <w:rPr>
          <w:rtl w:val="0"/>
        </w:rPr>
        <w:t xml:space="preserve">noteikšanu, lai Eiropas Savienības nozīmes biotopi – veci vai dabiski boreāli meži, veci jaukti platlapju meži, staignāju meži, nogāžu un gravu meži, purvaini meži, aluviāli meži (tostarp aluviālie krastmalu un palieņu meži) – atbilstu Eiropas Komisijas 1997. gada 18. novembra vadlīniju </w:t>
      </w:r>
      <w:r w:rsidR="00000000" w:rsidRPr="00000000" w:rsidDel="00000000">
        <w:rPr>
          <w:i w:val="1"/>
          <w:rtl w:val="0"/>
        </w:rPr>
        <w:t xml:space="preserve">Hab. 97/2, rev. 4</w:t>
      </w:r>
      <w:r w:rsidR="00000000" w:rsidRPr="00000000" w:rsidDel="00000000">
        <w:rPr>
          <w:rtl w:val="0"/>
        </w:rPr>
        <w:t xml:space="preserve"> nosacījumiem, un līdz 2026. gada 30. decembrim atbilstošos grozījumus normatīvajos aktos iesniedz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kā akciju sabiedrības "Latvijas valsts meži" kapitāldaļu turētājai nodrošināt, ka akciju sabiedrība "Latvijas valsts meži" neveic mežsaimniecisko darbību informatīvajā ziņojumā minētajās potenciālajās Eiropas Savienības nozīmes īpaši aizsargājamajās dabas teritorijās </w:t>
      </w:r>
      <w:r w:rsidR="00000000" w:rsidRPr="00000000" w:rsidDel="00000000">
        <w:rPr>
          <w:i w:val="1"/>
          <w:rtl w:val="0"/>
        </w:rPr>
        <w:t xml:space="preserve">Natura 2000</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sadarbībā ar Zemkopības ministriju sagatavot grozījumus normatīvajos aktos par sugu un biotopu aizsardzību, lai precizētu mikroliegumu izveides procesu un ieviestu dinamisko dabas aizsardzības sistēmu, un viedās administrācijas un reģionālās attīstības ministram tos noteiktā kārtībā iesniegt Ministru kabinetā līdz 2027. gada 30. jūnijam.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Zemkopības ministrijai nodrošināt, ka Valsts meža dienests līdz šī protokollēmuma 4. punktā noteiktā uzdevuma izpildei nenosaka jaunus mikroliegumus, izņemot īpaši aizsargājamām putnu un dzīvnieku sugām.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25-TA-1548</w:t>
    </w:r>
    <w:r>
      <w:br/>
    </w:r>
    <w:r w:rsidR="00000000" w:rsidRPr="00000000" w:rsidDel="00000000">
      <w:rPr>
        <w:rtl w:val="0"/>
      </w:rPr>
      <w:t xml:space="preserve">Izdrukāts 29.07.2026. 22.46 - 2.0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mk_sēdes_protokollēmuma_projekts_25-TA-1548.docx</dc:title>
</cp:coreProperties>
</file>

<file path=docProps/custom.xml><?xml version="1.0" encoding="utf-8"?>
<Properties xmlns="http://schemas.openxmlformats.org/officeDocument/2006/custom-properties" xmlns:vt="http://schemas.openxmlformats.org/officeDocument/2006/docPropsVTypes"/>
</file>