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1.1.1. specifiskā atbalsta mērķa "Pētniecības un inovāciju kapacitātes stiprināšana un progresīvu tehnoloģiju ieviešana kopējā P&amp;A sistēmā" 1.1.1.8. pasākumu "Doktorantūras granti"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 attīstības fonda projekta (turpmāk – projekts) iesniedzējam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doktoranti – doktora studiju programmās studējošie un zinātnes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doktorantūras grants – mērķēts konkursa kārtībā iegūstams finansējums doktoranta pētniecības veikšanai, kas saistīta ar doktorantūras studiju procesa, promocijas darba vai doktora teorētiskā pētījuma un mākslinieciskās jaunrades darba sekmīgu izstrādi;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sadarbības partneris – zinātniskā institūcija, cita augstākās izglītības institūcija vai saimnieciskās darbības veicējs, kas sadarbībā ar projekta iesniedzēju īsteno doktora līmeņa studijas;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iesniedzēja sadarbības kārtība ar projekta sadarbības partneriem – projekta iesniedzēja iekšējais normatīvais akts, kas regulē vienotu kārtību  starp  projekta iesniedzēju un sadarbības partneriem projekta īstenošanā, kurā iekļauj informāciju saskaņā ar normatīvo aktu, kas nosaka kārtību, kādā Eiropas Savienības fondu vadībā iesaistītās institūcijas nodrošina šo fondu ieviešanu 2021.–2027. gada plānošanas periodā, atrunā savstarpējo norēķinu veikšanas kārtību un sadarbības starp projekta iesniedzēja centralizēto struktūrvienību, kas organizē doktora līmeņa studijas, zinātnisko institūciju un citu augstākās izglītības institūciju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 kurai nav saimnieciska rakstura, – augstākās izglītības institūcijas darbība, kura neietilpst Līguma par Eiropas Savienības darbību (Eiropas Savienības Oficiālais Vēstnesis, 2010. gada 30. marts, Nr. C 83/47) 107. panta 1. punktā noteiktajā darbības jomā. Saimnieciska rakstura nav tai skaitā šādām augstākās izglītības institūcijas darbībām: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pasākumi, lai panāktu personāla skaita un kvalifikācijas pieaugumu;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neatkarīga pētniecība un izstrāde, lai gūtu vairāk zināšanu un labāku izpratni, un šo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zināšanu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un tehnoloģiju pārneses darbības veic augstākās izglītības institūcija, augstākās izglītības institūcijas nodaļa vai augstākās izglītības institūcijas meitas sabiedrība (tāda komercsabiedrība, kurā mātes sabiedrības līdzdalības daļa pārsniedz 50 procentu vai kurā mātes sabiedrībai ir balsu vairākums),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atkal ieguldīta augstākās izglītības institūcijas pamatdarbībā, kas nav saistīta ar saimniecisko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stiprināt tautsaimniecības izaugsmei un transformācijai nepieciešamo pētniecības un attīstības cilvēkkapitāla kapacitāti viedās specializācijas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doktoranti.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atbalstīti doktorantūras granti, kas sniedz ieguldījumu Latvijas Viedās specializācijas stratēģijas mērķu sasniegšanā, izaugsmes prioritāšu īstenošanā vai specializācijas jomu attīstībā.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rezultāta rādītājs – atbalstītajās struktūrās izveidotās pētniecības darbvietas  – 66 pilna laika slodzes ekvivalents;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nacionālais rādītājs – doktorantu skaits, kas saņēmuši Eiropas Reģionālā attīstības fonda atbalstu studiju vai zinātniski pētnieciskajam darbam projekta iesniedzēja vai sadarbības partnera institūcijā, – 264.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finansējuma saņēmējam ir jāuzkrāj RIS3 rādītāji par iesaistīto personālu: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zinātniskais personāls –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zinātniskais personāls – pilna laika slodzes ekvivalents;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zinātnes tehniskais personāls –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zinātnes tehniskais personāls – pilna laika slodzes ekvivalents.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plānotais kopējais finansējums ir 19 140 000 </w:t>
      </w:r>
      <w:r w:rsidR="00000000" w:rsidRPr="00000000" w:rsidDel="00000000">
        <w:rPr>
          <w:i w:val="1"/>
          <w:rtl w:val="0"/>
        </w:rPr>
        <w:t xml:space="preserve">euro</w:t>
      </w:r>
      <w:r w:rsidR="00000000" w:rsidRPr="00000000" w:rsidDel="00000000">
        <w:rPr>
          <w:rtl w:val="0"/>
        </w:rPr>
        <w:t xml:space="preserve"> (tai skaitā elastības finansējuma apjoms 3 018 862 </w:t>
      </w:r>
      <w:r w:rsidR="00000000" w:rsidRPr="00000000" w:rsidDel="00000000">
        <w:rPr>
          <w:i w:val="1"/>
          <w:rtl w:val="0"/>
        </w:rPr>
        <w:t xml:space="preserve">euro</w:t>
      </w:r>
      <w:r w:rsidR="00000000" w:rsidRPr="00000000" w:rsidDel="00000000">
        <w:rPr>
          <w:rtl w:val="0"/>
        </w:rPr>
        <w:t xml:space="preserve">), tai skaitā Eiropas Reģionālā attīstības fonda finansējums 16 269 000 </w:t>
      </w:r>
      <w:r w:rsidR="00000000" w:rsidRPr="00000000" w:rsidDel="00000000">
        <w:rPr>
          <w:i w:val="1"/>
          <w:rtl w:val="0"/>
        </w:rPr>
        <w:t xml:space="preserve">euro</w:t>
      </w:r>
      <w:r w:rsidR="00000000" w:rsidRPr="00000000" w:rsidDel="00000000">
        <w:rPr>
          <w:rtl w:val="0"/>
        </w:rPr>
        <w:t xml:space="preserve">) (tai skaitā elastības finansējuma apjoms 2 566 033 </w:t>
      </w:r>
      <w:r w:rsidR="00000000" w:rsidRPr="00000000" w:rsidDel="00000000">
        <w:rPr>
          <w:i w:val="1"/>
          <w:rtl w:val="0"/>
        </w:rPr>
        <w:t xml:space="preserve">euro</w:t>
      </w:r>
      <w:r w:rsidR="00000000" w:rsidRPr="00000000" w:rsidDel="00000000">
        <w:rPr>
          <w:rtl w:val="0"/>
        </w:rPr>
        <w:t xml:space="preserve">) un valsts budžeta līdzfinansējums ne mazāk kā  2 871 000 </w:t>
      </w:r>
      <w:r w:rsidR="00000000" w:rsidRPr="00000000" w:rsidDel="00000000">
        <w:rPr>
          <w:i w:val="1"/>
          <w:rtl w:val="0"/>
        </w:rPr>
        <w:t xml:space="preserve">eur</w:t>
      </w:r>
      <w:r w:rsidR="00000000" w:rsidRPr="00000000" w:rsidDel="00000000">
        <w:rPr>
          <w:rtl w:val="0"/>
        </w:rPr>
        <w:t xml:space="preserve">o (tai skaitā elastības finansējuma apjoms 452 829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Projektu iesniegumos pasākuma īstenošanai kopējo pasākuma pieejamo finansējumu plāno ne vairāk kā 16 121 138 </w:t>
      </w:r>
      <w:r w:rsidR="00000000" w:rsidRPr="00000000" w:rsidDel="00000000">
        <w:rPr>
          <w:i w:val="1"/>
          <w:rtl w:val="0"/>
        </w:rPr>
        <w:t xml:space="preserve">euro</w:t>
      </w:r>
      <w:r w:rsidR="00000000" w:rsidRPr="00000000" w:rsidDel="00000000">
        <w:rPr>
          <w:rtl w:val="0"/>
        </w:rPr>
        <w:t xml:space="preserve"> apmērā, tai skaitā Eiropas Reģionālā attīstības fonda finansējumu – 13 702 967 </w:t>
      </w:r>
      <w:r w:rsidR="00000000" w:rsidRPr="00000000" w:rsidDel="00000000">
        <w:rPr>
          <w:i w:val="1"/>
          <w:rtl w:val="0"/>
        </w:rPr>
        <w:t xml:space="preserve">euro</w:t>
      </w:r>
      <w:r w:rsidR="00000000" w:rsidRPr="00000000" w:rsidDel="00000000">
        <w:rPr>
          <w:rtl w:val="0"/>
        </w:rPr>
        <w:t xml:space="preserve"> apmērā, valsts budžeta līdzfinansējumu – 2 418 171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Maksimālā Eiropas Reģionālā attīstības fonda finansējuma intensitāte ir 85 procenti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pieejamo finansējumu līdz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plānotā kopējā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Pasākumam paredzēts atbalsts grantu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īsteno projektu, kas nav saistīts ar saimnieciskās darbības veikšanu vai nav kvalificējams kā komercdarbības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minētais projekta iesniedzējs, kas pēc vienošanās par projekta īstenošanu noslēgšanas ar sadarbības iestādi, ir arī Eiropas Reģionālā attīstības fonda finansējuma saņēmējs (turpmāk – finansējuma saņēmējs), sagatavo projekta iesniegumu un projekta iesniegumu atlases nolikumā noteiktajā kārtībā iesniedz to sadarbības iestādē, izmantojot Kohēzijas politikas fondu vadības informācijas sistēmas elektronisko vidi.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Projektu iesniedzēji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 sadarbībā ar Latvijas Mākslas akadēmiju un Jāzepa Vītola Latvijas Mūzikas akadēmiju;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 sadarbībā ar Banku augstskolu;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 sadarbībā ar Latvijas Sporta Pedagoģijas akadēmiju;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Tehniskā universitāte sadarbībā ar Liepājas Universitāti un Rēzeknes Tehnoloģiju akadēmiju;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 sadarbībā ar Vidzemes augstskolu.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Katram projekta iesniedzējam plānotais kopējais attiecināmais finansējums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Universitātei – 892 770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akadēmijai sadarbībā ar Latvijas Mākslas akadēmiju un Jāzepa Vītola Latvijas Mūzikas akadēmiju – 446 795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universitātei – 1 668 936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Universitātei sadarbībā ar Banku augstskolu – 6 598 558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universitātei sadarbībā ar Latvijas Sporta pedagoģijas akadēmiju – 2 785 646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Tehniskajai universitātei sadarbībā ar Liepājas Universitāti un Rēzeknes Tehnoloģiju akadēmiju – 6 377 964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Augstskolai sadarbībā ar Vidzemes Augstskolu – 369 331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Katram projekta iesniedzējam pieejamais kopējais attiecināmais finansējums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Universitātei – 751 958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akadēmijai sadarbībā ar Latvijas Mākslas akadēmiju un Jāzepa Vītola Latvijas Mūzikas akadēmiju – 376 324 </w:t>
      </w:r>
      <w:r w:rsidR="00000000" w:rsidRPr="00000000" w:rsidDel="00000000">
        <w:rPr>
          <w:i w:val="1"/>
          <w:rtl w:val="0"/>
        </w:rPr>
        <w:t xml:space="preserve">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universitātei – 1 405 703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Universitātei sadarbībā ar Banku augstskolu – 5  557  798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universitātei sadarbībā ar Latvijas Sporta pedagoģijas akadēmiju – 2 346 279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Tehniskajai universitātei sadarbībā ar Liepājas Universitāti un Rēzeknes Tehnoloģiju akadēmiju – 5 3719 98 </w:t>
      </w:r>
      <w:r w:rsidR="00000000" w:rsidRPr="00000000" w:rsidDel="00000000">
        <w:rPr>
          <w:i w:val="1"/>
          <w:rtl w:val="0"/>
        </w:rPr>
        <w:t xml:space="preserve">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Augstskolai sadarbībā ar Vidzemes Augstskolu – 311 078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Līdz 2029. gada 31. decembrim sasniedzams rezultāta rādītājs "Atbalstītajās struktūrās izveidotās pētniecības darbvietas" pilna laika ekvivalenta izteiksmē: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Universitātei – 3;</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akadēmijai sadarbībā ar Latvijas Mākslas akadēmiju un Jāzepa Vītola Latvijas Mūzikas akadēmiju –1,5;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universitātei – 5,57;</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Universitātei sadarbībā ar Banku augstskolu – 22,75;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universitātei sadarbībā ar Latvijas Sporta pedagoģijas akadēmiju – 9,75;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Tehniskajai universitātei sadarbībā ar Liepājas Universitāti un Rēzeknes Tehnoloģiju akadēmiju – 22;</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Augstskolai sadarbībā ar Vidzemes Augstskolu – 1,25.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Līdz 2029. gada 31. decembrim sasniedzams nacionālais rādītājs "Doktorantu skaits, kas saņēmuši Eiropas Reģionālā attīstības fonda atbalstu studiju vai zinātniski pētnieciskajam darbam projekta iesniedzēja vai sadarbības partnera institūcijā":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Universitātei – 12;</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akadēmijai sadarbībā ar Latvijas Mākslas akadēmiju un Jāzepa Vītola Latvijas Mūzikas akadēmiju – 6;</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universitātei – 23;</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Universitātei sadarbībā ar Banku augstskolu – 91;</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universitātei sadarbībā ar Latvijas Sporta pedagoģijas akadēmiju – 39;</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Tehniskajai universitātei sadarbībā ar Liepājas Universitāti un Rēzeknes Tehnoloģiju akadēmiju – 88;</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Augstskolai sadarbībā ar Vidzemes Augstskolu – 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sagatavo un iesniedz sadarbības iestādē projekta iesniegumu atbilstoši projektu atlases nolikumā noteiktajām prasībām un pielikumā pievieno projekta iesniedzēja sadarbības kārtību ar projekta sadarbības partneriem, sadarbības līguma projektu, doktorantūras grantu saņēmēju atlases nolikuma projektu un līguma projektu ar doktorantūras grantu saņēmējiem.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ar katru projekta sadarbības partneri pirms projekta iesniegšanas sadarbības iestādē noslēdz sadarbības līgumu par projekta īstenošanu. Sadarbības līgumā iekļauj vismaz: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kas noteikta normatīvajos aktos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pienākumu un atbildības sadali projekta mērķu un rezultātu sasniegšanai;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savstarpējo norēķinu veikšanas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apstiprinājumu, ka visas tiesības uz projekta īstenošanas rezultātā radušos intelektuālo īpašumu saglabā finansējuma saņēmējs vai sadarbības partneris, pie kura atbalstītais doktorants iegūst doktora grādu;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noteiktās prasības sadarbības partnerim;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nosacījumu, ka sadarbības partnerim nodotās ar projekta īstenošanu saistītās tiesības un saistības netiek nodotas citai personai, izņemot gadījumus, kad sadarbības partnera reorganizācijas rezultātā tā tiesības un saistības tiek nodotas finansējuma saņēmējam;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pienākumu uzkrāt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norādītos datus.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nodrošinātu sekmīgu projekta īstenošanu, mērķu sasniegšanu un projektam piešķirto līdzekļu lietderīgu un efektīvu izlietošanu, projekta iesniedzējs iekļauj projekta iesniegumā informāciju par iekšējo projekta vadības un kontroles sistēmu, paredzot sadarbības regulējumu ar projekta īstenošanas sadarbības partneriem, kā arī aprakstot, kādas darbības un uzraudzības instrumenti ir plānoti vai ieviesti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projekta sadarbības partnera grāmatvedības uzskaitē un finanšu pārskatu ticamības nodrošināšanā;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projekta sadarbības partneru dalība to veikšanā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doktorantu iesaiste studiju vai zinātniski pētnieciskajā darbā augstākās izglītības institūcijā vai projekta sadarbības partnera organizācijā vismaz 12 mēnešus projekta ietvaros, nepārsniedzot 50 procentus no pilnas darba slodzes;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 un projekta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projektā plāno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tiešās attiecināmās izmaksas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w:t>
      </w:r>
      <w:r w:rsidR="00000000" w:rsidRPr="00000000" w:rsidDel="00000000">
        <w:rPr>
          <w:rtl w:val="0"/>
        </w:rPr>
        <w:t xml:space="preserve">25.2. </w:t>
      </w:r>
      <w:r w:rsidR="00000000" w:rsidRPr="00000000" w:rsidDel="00000000">
        <w:rPr>
          <w:rtl w:val="0"/>
        </w:rPr>
        <w:t xml:space="preserve">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īstenošanas personāla atlīdzības izmaksas (izņemot virsstundas)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darba vietu aprīkojuma iegādes vai nomas izmaksas projekta vadības un īstenošanas personālam, tai skaitā aprīkojuma uzturēšanas un remonta izmaksas, vai esošo darba vietu atjaunošanas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iekšzemes komandējumu un darba braucienu izmaksas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pakalpojumu izmaksas (maksa par degvielu, transportlīdzekļu noma, transporta pakalpojumu pirkšana, maksa par sabiedriskā transporta izmantošanu)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pakalpojumu izmaksas šo noteikumu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informācijas un publicitātes pasākumu izmaksas atbilstoši Eiropas Parlamenta un Padomes Regulas Nr. 2021/1060 47. un 50. pantā noteiktajam un normatīvajiem aktiem par kārtību, kādā Eiropas Savienības fondu ieviešanā 2021.–2027. gada plānošanas periodā nodrošināmas komunikācijas un vizuālās identitātes prasības;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atlīdzība doktorantam par studiju vai zinātniski pētnieciskā darba veikšanu, ievērojot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atbilstoši vadošās iestādes saskaņotai vienas vienības izmaksu metodikai;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pētniecības izmaksas doktorantam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atbilstoši vadošās iestādes saskaņotai vienas vienības izmaksu metodikai;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netiešās attiecināmās izmaksas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darbību veikšanai. Tās plāno kā vienu izmaksu pozīciju, piemērojot netiešo izmaksu vienoto likmi 15 procentu apmērā no šo noteikumu </w:t>
      </w:r>
      <w:r w:rsidR="00000000" w:rsidRPr="00000000" w:rsidDel="00000000">
        <w:rPr>
          <w:rtl w:val="0"/>
        </w:rPr>
        <w:t xml:space="preserve">26.1.1.</w:t>
      </w:r>
      <w:r w:rsidR="00000000" w:rsidRPr="00000000" w:rsidDel="00000000">
        <w:rPr>
          <w:rtl w:val="0"/>
        </w:rPr>
        <w:t xml:space="preserve"> un </w:t>
      </w:r>
      <w:r w:rsidR="00000000" w:rsidRPr="00000000" w:rsidDel="00000000">
        <w:rPr>
          <w:rtl w:val="0"/>
        </w:rPr>
        <w:t xml:space="preserve">26.1.2. </w:t>
      </w:r>
      <w:r w:rsidR="00000000" w:rsidRPr="00000000" w:rsidDel="00000000">
        <w:rPr>
          <w:rtl w:val="0"/>
        </w:rPr>
        <w:t xml:space="preserve">apakšpunktā</w:t>
      </w:r>
      <w:r w:rsidR="00000000" w:rsidRPr="00000000" w:rsidDel="00000000">
        <w:rPr>
          <w:rtl w:val="0"/>
        </w:rPr>
        <w:t xml:space="preserve"> minētajām tiešajām attiecināmajām personāla izmaksām. Netiešo izmaksu vienoto likmi piemēro personāla izmaksām, kuras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Kopējais novirzāmais finansējums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darbību īstenošanai veido vismaz 90 procentus no projekta īstenošanai pieejamā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projekta attiecināmo izmaksu kopsumma pārsniedz 1 000 000 </w:t>
      </w:r>
      <w:r w:rsidR="00000000" w:rsidRPr="00000000" w:rsidDel="00000000">
        <w:rPr>
          <w:i w:val="1"/>
          <w:rtl w:val="0"/>
        </w:rPr>
        <w:t xml:space="preserve">euro</w:t>
      </w:r>
      <w:r w:rsidR="00000000" w:rsidRPr="00000000" w:rsidDel="00000000">
        <w:rPr>
          <w:rtl w:val="0"/>
        </w:rPr>
        <w:t xml:space="preserve">, tad par katriem 1 000 000 </w:t>
      </w:r>
      <w:r w:rsidR="00000000" w:rsidRPr="00000000" w:rsidDel="00000000">
        <w:rPr>
          <w:i w:val="1"/>
          <w:rtl w:val="0"/>
        </w:rPr>
        <w:t xml:space="preserve">euro</w:t>
      </w:r>
      <w:r w:rsidR="00000000" w:rsidRPr="00000000" w:rsidDel="00000000">
        <w:rPr>
          <w:rtl w:val="0"/>
        </w:rPr>
        <w:t xml:space="preserve"> projekta ietvaros finansējuma saņēmējs paredz iesaistīt ne mazāk kā vienu projekta sadarbības partneri, ar kuru kopā tiek īstenota doktora studiju programma, neskaitot šo noteikumu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un </w:t>
      </w:r>
      <w:r w:rsidR="00000000" w:rsidRPr="00000000" w:rsidDel="00000000">
        <w:rPr>
          <w:rtl w:val="0"/>
        </w:rPr>
        <w:t xml:space="preserve">17.6. </w:t>
      </w:r>
      <w:r w:rsidR="00000000" w:rsidRPr="00000000" w:rsidDel="00000000">
        <w:rPr>
          <w:rtl w:val="0"/>
        </w:rPr>
        <w:t xml:space="preserve">apakšpunktā</w:t>
      </w:r>
      <w:r w:rsidR="00000000" w:rsidRPr="00000000" w:rsidDel="00000000">
        <w:rPr>
          <w:rtl w:val="0"/>
        </w:rPr>
        <w:t xml:space="preserve"> minētos sadarbības partnerus.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noteiktais sadarbības partneris veic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atbalstāmās darbības īstenošanu un nodrošina doktorantiem šo noteikumu </w:t>
      </w:r>
      <w:r w:rsidR="00000000" w:rsidRPr="00000000" w:rsidDel="00000000">
        <w:rPr>
          <w:rtl w:val="0"/>
        </w:rPr>
        <w:t xml:space="preserve">26.1.8.</w:t>
      </w:r>
      <w:r w:rsidR="00000000" w:rsidRPr="00000000" w:rsidDel="00000000">
        <w:rPr>
          <w:rtl w:val="0"/>
        </w:rPr>
        <w:t xml:space="preserve"> un </w:t>
      </w:r>
      <w:r w:rsidR="00000000" w:rsidRPr="00000000" w:rsidDel="00000000">
        <w:rPr>
          <w:rtl w:val="0"/>
        </w:rPr>
        <w:t xml:space="preserve">26.1.9. </w:t>
      </w:r>
      <w:r w:rsidR="00000000" w:rsidRPr="00000000" w:rsidDel="00000000">
        <w:rPr>
          <w:rtl w:val="0"/>
        </w:rPr>
        <w:t xml:space="preserve">apakšpunktā</w:t>
      </w:r>
      <w:r w:rsidR="00000000" w:rsidRPr="00000000" w:rsidDel="00000000">
        <w:rPr>
          <w:rtl w:val="0"/>
        </w:rPr>
        <w:t xml:space="preserve"> noteiktās izmaksas atbilstoši projekta iesniedzēja sadarbības kārtībai ar projekta sadarbības partneriem un saskaņā ar projekta iesniedzēja noslēgto sadarbības līgumu ar projekta sadarbības partneri.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iesniedzējs izsludina atklātu doktorantu atlasi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un atlases komisijā paredz visu doktora studiju programmu īstenošanā iesaistīto pušu pārstāvniecību, tai skaitā augstskolas, projekta sadarbības partneru, zinātnisko institūciju un citu augstāko izglītības iestāžu pārstāvniecību, kā arī konsultējas ar studentus pārstāvošām organizācijām.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nodrošina, ka, īstenojot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novērš dubultā finansējuma risku un nodrošina demarkāciju ar citiem līdzīgiem vai saistītiem projektiem, kā arī valsts budžeta finansējumu doktorantu atalgojumam.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atklātā, pārredzamā, nediskriminējošā un konkurenci nodrošinošā procedūrā saskaņā ar iepirkumu reglamentējošajiem normatīvajiem aktiem. Atbalstāma ir vides prasību integrācija preču un pakalpojumu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26.1.1.</w:t>
      </w:r>
      <w:r w:rsidR="00000000" w:rsidRPr="00000000" w:rsidDel="00000000">
        <w:rPr>
          <w:rtl w:val="0"/>
        </w:rPr>
        <w:t xml:space="preserve">un </w:t>
      </w:r>
      <w:r w:rsidR="00000000" w:rsidRPr="00000000" w:rsidDel="00000000">
        <w:rPr>
          <w:rtl w:val="0"/>
        </w:rPr>
        <w:t xml:space="preserve">26.1.2. </w:t>
      </w:r>
      <w:r w:rsidR="00000000" w:rsidRPr="00000000" w:rsidDel="00000000">
        <w:rPr>
          <w:rtl w:val="0"/>
        </w:rPr>
        <w:t xml:space="preserve">apakšpunktā</w:t>
      </w:r>
      <w:r w:rsidR="00000000" w:rsidRPr="00000000" w:rsidDel="00000000">
        <w:rPr>
          <w:rtl w:val="0"/>
        </w:rPr>
        <w:t xml:space="preserve"> minētās tiešās attiecināmās personāla atlīdzības izmaksas, finansējuma saņēmējs nodrošina,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 panta 1. punkta "c" apakšpunktā ietvertajiem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Pasākuma ietvaros finansējuma saņēmējam izmaksas ir attiecināmas, ja tās atbilst šajos noteikumos minētajām izmaksu pozīcijām un ir radušās no šo noteikumu spēkā stāšanās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partneriem izmaksas ir attiecināmas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 un nodrošinot demarkāciju ar citiem līdzīgiem vai saistītiem projektiem.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projekta īstenošanas laikā finansējuma saņēmējam ir paredzēts avanss, to var izmaksāt pa daļām. Viens avansa maksājums nepārsniedz 30 procentus no projektam piešķirtā Eiropas Reģionālās attīstības fonda finansējuma un valsts budžeta līdzfinansējuma kopsummas. Finansējuma saņēmējam  avansa un starpposma maksājumu kopsumma var būt 100 procenti no projektam piešķirtā Eiropas Reģionālās attīstības fonda finansējuma un valsts budžeta līdzfinansējuma kopsummas.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nodrošina informācijas un publicitātes pasākumus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pieejama,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minētā nacionālā rādītāja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laikā atbalstīto doktorantu aizstāvētajiem promocijas darbiem;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zinātniskajiem rakstiem, kuru izstrādē ar projekta atbalstu doktorants ir piedalījies un kas publicēti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r w:rsidR="00000000" w:rsidRPr="00000000" w:rsidDel="00000000">
        <w:rPr>
          <w:rtl w:val="0"/>
        </w:rPr>
        <w:t xml:space="preserve"> datubāzē iekļautos žurnālos vai konferenču rakstu krājumos;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saņēmušām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Nr. 2021/1058 par Eiropas Reģionālās attīstības fondu un Kohēzijas fondu I un II pielikumu un normatīvajiem aktiem, kas nosaka Eiropas Savienības fondu projektu pārbaužu veikšanas kārtību 2021.–2027. gada plānošanas periodā, nodrošinot personu datu apstrādi saskaņā ar Eiropas Parlamenta un Padomes 2016. gada 27. aprīļa Regulas (ES) 2016/679 par fizisku personu aizsardzību attiecībā uz personas datu apstrādi un šādu datu brīvu apriti un ar ko atceļ Direktīvu 95/46/EK (Vispārīgā datu aizsardzības regula) 5. panta 1. punkta "a" apakšpunktu likumīgi, godprātīgi un datu subjektam pārredzamā veidā.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īstenošanas gaitā radušos izmaksu sadārdzinājumu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iesniedzējs iesniedz projektu, kas atbilst visiem šiem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veiktās darbības atbilst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noteiktajai definīcijai;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īstenošanas rezultātā rodas intelektuālais īpašums, tad atbilstoši projekta iesniedzēja intelektuālā īpašuma tiesību pārvaldības un izmantošanas kārtībai intelektuālā īpašuma atsavināšanas līgumus (patenta atsavināšanas vai licences līgumus) slēdz ar licenciātu un par visām licenciātam nodotajām ekonomiskajām priekšrocībām tiek saņemta tāda atlīdzība, kas ir līdzvērtīga tirgus cenai par intelektuālā īpašuma tiesībām. Atlīdzība ir uzskatāma par līdzvērtīgu tirgus cenai, ja to dokumentāri var pierādīt vienā no šādiem veidiem: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summa ir noteikta, izmantojot atklātu, pārredzamu un nediskriminējošu uz konkurenci balstītu pārdošanas procedūru;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kā pārdevējs var pierādīt, ka tas ir vienojies par kompensāciju godīgas konkurences apstākļos, lai iegūtu maksimālu saimniecisko labumu tajā brīdī, kad tiek noslēgts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īstenošanas rezultātā tiek gūti ieņēmumi no zināšanu un tehnoloģiju pārneses un projekts atbilst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finanšu analīzi, lai noteiktu finansējuma deficīta apjomu, kas attiecināms finansēšanai no publiskiem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īstenojot projektu, finansējuma saņēmējs nodrošina projekta īstenošanas finanšu plūsmas nodalīšanu no citām finansējuma saņēmēja darbības finanšu plūsmām projekta īstenošanas laikā un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īstenojot projektu, ir nodrošināta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iesniedzējs nodrošina, ka projekta sadarbības partneris ievēro šādas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veiktās darbības atbilst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noteiktajai definīcijai;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projektu, projekta sadarbības partneris nodrošina projekta īstenošanas finanšu plūsmas nodalīšanu no citām sadarbības partnera darbības finanšu plūsmām projekta īstenošanas laikā un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īstenojot projektu, ir nodrošināta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nodrošina projektā sasniegtā rezultāta ilgtspēju vismaz piecus gadus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projekta īstenošanā netiek ievēroti noteiktie termiņi vai ir iestājušies citi apstākļi, kas negatīvi ietekmē vai var ietekmēt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pasākuma mērķa sasniegšanu un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vai līgums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23-TA-1396</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23-TA-1396</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noteikumu_projekts_23-TA-1396.docx</dc:title>
</cp:coreProperties>
</file>

<file path=docProps/custom.xml><?xml version="1.0" encoding="utf-8"?>
<Properties xmlns="http://schemas.openxmlformats.org/officeDocument/2006/custom-properties" xmlns:vt="http://schemas.openxmlformats.org/officeDocument/2006/docPropsVTypes"/>
</file>