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probācijas dienesta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sesto,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veiktu pētījumu vai statistikas rādītāju analīzi, Valsts probācijas dienestam ir tiesības iegūt informāciju no Iekšlietu ministrijas Informācijas centra par esošo un bijušo probācijas klientu sodāmību un uzsāktajiem kriminālprocesiem, informāciju, kas raksturo kriminālprocesa gaitu, personas vainas atzīšanu un tiesībsargājošo institūciju atbildes reakciju uz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veiktu pētījumu vai statistikas rādītāju analīzi, Valsts probācijas dienestam ir tiesības iegūt informāciju no Ieslodzījuma vietu pārvaldes par  esošo un bijušo probācijas klientu brīvības atņemšanas soda izpildes gaitu, tā laikā pieļautajiem pārkāpumiem, plānotajiem resocializācijas pasākumiem, to izpildes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probācijas dienestam tā noteiktā pētījuma veikšanai vai statistikas rādītāju analīzei ir tiesības nodot pētījumu izstrādātājiem šā panta piektajā un sestajā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probācijas dienestam tā noteiktā pētījuma veikšanai ir tiesības nodot pētījuma izstrādātājiem esošo un bijušo probācijas klientu identifikācijas datus, kontaktinformāciju, esošo un bijušo probācijas klientu likumisko pārstāvju identifikācijas datus un kontaktinformāciju."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otrās daļas 8.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sniegt informāciju par nepilngadīgā probācijas klienta, kuram ir piemērots audzinoša rakstura piespiedu līdzeklis – probācijas novērošana – vārdu, uzvārdu, dzimšanas datumu, tālruņa numuru un elektroniskā pasta adresi, likumiskajiem pārstāvjiem, to vārdu, uzvārdu, tālruņa numuru un elektroniskā pasta adresi, apstākļiem, kas veicinājuši noziedzīga nodarījuma izdarīšanu, un resursiem, kas veicina probācijas klienta iekļaušanos sabiedrībā, pakalpojuma sniedzējam, lai nodrošinātu nepilngadīgā probācijas klienta sociālās uzvedības korekcijas un sociālās rehabilitācijas pakalpojumus;".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23-TA-3210</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23-TA-3210</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likumprojekts_(grozījumi)_23-TA-3210.docx</dc:title>
</cp:coreProperties>
</file>

<file path=docProps/custom.xml><?xml version="1.0" encoding="utf-8"?>
<Properties xmlns="http://schemas.openxmlformats.org/officeDocument/2006/custom-properties" xmlns:vt="http://schemas.openxmlformats.org/officeDocument/2006/docPropsVTypes"/>
</file>