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w:t>
      </w:r>
      <w:r w:rsidR="00000000" w:rsidRPr="00000000" w:rsidDel="00000000">
        <w:rPr>
          <w:rStyle w:val="paragraph"/>
          <w:i w:val="1"/>
          <w:rtl w:val="0"/>
        </w:rPr>
        <w:t xml:space="preserve">19. panta</w:t>
      </w:r>
      <w:r w:rsidR="00000000" w:rsidRPr="00000000" w:rsidDel="00000000">
        <w:rPr>
          <w:rStyle w:val="paragraph"/>
          <w:i w:val="1"/>
          <w:rtl w:val="0"/>
        </w:rPr>
        <w:t xml:space="preserve">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2.1.3. specifiskā atbalsta mērķa "Veicināt pielāgošanos klimata pārmaiņām, risku novēršanu un noturību pret katastrofām" 2.1.3.2. pasākuma "Nacionālas nozīmes plūdu un krasta erozijas pasākumi" (turpmāk – pasākums) projektu iesniegumu otro atlases kārtu (turpmāk –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pielāgošanos klimata pārmaiņām, mazinot kaitējuma riskus un veicinot noturību pret dabas katastrofām.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kārtas mērķis ir nacionālas nozīmes plūdu riska teritorijās atjaunot, pārbūvēt un izbūvēt infrastruktūru, kas novērš plūdu risku, mazina applūšanu un krasta eroziju.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mērķteritorija ir nacionālas nozīmes plūdu riska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otrās atlases kārtas ietvaros līdz 2029. gada 31. decembrim sasniedzamie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jaunizveidota vai nostiprināta piekrastes joslas un upju un ezeru krastu aizsardzība pret plūdiem. Iznākuma rādītāja vērtība tiek sasniegta, ja atlases kārtas projektu ietvaros veikti ieguldījumi aizsardzībai pret plūdiem 8,6 kilometrus garā posmā;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"zaļā" infrastruktūra, kas izveidota vai jaunināta, lai pielāgotos klimata pārmaiņām. Iznākuma rādītāja vērtība tiek sasniegta, ja atlases kārtas projektu ietvaros veikti ieguldījumi aizsardzības stiprināšanai pret plūdiem 52,12 hektāru lielā platībā, piemērojot "zaļās" vai "zilās" infrastruktūras paņēmienus;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iedzīvotāji, kas gūst labumu no pretplūdu pasākumiem. Rezultāta rādītāja vērtība tiek sasniegta, ja atlases kārtas projektu ietvaros veikti ieguldījumi, kas nodrošina aizsardzību pret plūdiem vismaz 16 272 iedzīvotājiem;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iedzīvotāji, kuriem ir pieejama jauna vai uzlabota "zaļā" infrastruktūra. Rezultāta rādītāja vērtība tiek sasniegta, ja atlases kārtas projektu ietvaros veikti ieguldījumi, kas nodrošina aizsardzību pret plūdiem vismaz 16 006 iedzīvotājiem, kas dzīvo divu kilometru rādiusā no publiskās "zaļās" vai "zilās" infrastruktūras.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ietvaros atbildīgās iestādes funkcijas pilda Viedās administrācijas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Atlases kārtas īstenošanai plānotais un pieejamais kopējais attiecināmais finansējums ir 40 986 358 </w:t>
      </w:r>
      <w:r w:rsidR="00000000" w:rsidRPr="00000000" w:rsidDel="00000000">
        <w:rPr>
          <w:i w:val="1"/>
          <w:rtl w:val="0"/>
        </w:rPr>
        <w:t xml:space="preserve">euro</w:t>
      </w:r>
      <w:r w:rsidR="00000000" w:rsidRPr="00000000" w:rsidDel="00000000">
        <w:rPr>
          <w:rtl w:val="0"/>
        </w:rPr>
        <w:t xml:space="preserve">, tai skaitā Eiropas Reģionālās attīstības fonda finansējums – 34 838 404 </w:t>
      </w:r>
      <w:r w:rsidR="00000000" w:rsidRPr="00000000" w:rsidDel="00000000">
        <w:rPr>
          <w:i w:val="1"/>
          <w:rtl w:val="0"/>
        </w:rPr>
        <w:t xml:space="preserve">euro </w:t>
      </w:r>
      <w:r w:rsidR="00000000" w:rsidRPr="00000000" w:rsidDel="00000000">
        <w:rPr>
          <w:rtl w:val="0"/>
        </w:rPr>
        <w:t xml:space="preserve">un nacionālais līdzfinansējums, ko veido pašvaldības līdzfinansējums, – 6 147 954 </w:t>
      </w:r>
      <w:r w:rsidR="00000000" w:rsidRPr="00000000" w:rsidDel="00000000">
        <w:rPr>
          <w:i w:val="1"/>
          <w:rtl w:val="0"/>
        </w:rPr>
        <w:t xml:space="preserve">euro</w:t>
      </w:r>
      <w:r w:rsidR="00000000" w:rsidRPr="00000000" w:rsidDel="00000000">
        <w:rPr>
          <w:rtl w:val="0"/>
        </w:rPr>
        <w:t xml:space="preserve">, vienlaikus ievērojot šo noteikumu </w:t>
      </w:r>
      <w:r w:rsidR="00000000" w:rsidRPr="00000000" w:rsidDel="00000000">
        <w:rPr>
          <w:rtl w:val="0"/>
        </w:rPr>
        <w:t xml:space="preserve">10.</w:t>
      </w:r>
      <w:r w:rsidR="00000000" w:rsidRPr="00000000" w:rsidDel="00000000">
        <w:rPr>
          <w:rtl w:val="0"/>
        </w:rPr>
        <w:t xml:space="preserve"> punkta</w:t>
      </w:r>
      <w:r w:rsidR="00000000" w:rsidRPr="00000000" w:rsidDel="00000000">
        <w:rPr>
          <w:rtl w:val="0"/>
        </w:rPr>
        <w:t xml:space="preserve">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Reģionālās attīstības fonda finansējuma apmērs nepārsniedz 85 procentus no projekta kopējā attiecināmā finansējuma, un pašvaldības līdzfinansējuma apmērs ir vismaz 15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projektā šo noteikumu </w:t>
      </w:r>
      <w:r w:rsidR="00000000" w:rsidRPr="00000000" w:rsidDel="00000000">
        <w:rPr>
          <w:rtl w:val="0"/>
        </w:rPr>
        <w:t xml:space="preserve">5.1.2.</w:t>
      </w:r>
      <w:r w:rsidR="00000000" w:rsidRPr="00000000" w:rsidDel="00000000">
        <w:rPr>
          <w:rtl w:val="0"/>
        </w:rPr>
        <w:t xml:space="preserve"> apakšpunktā</w:t>
      </w:r>
      <w:r w:rsidR="00000000" w:rsidRPr="00000000" w:rsidDel="00000000">
        <w:rPr>
          <w:rtl w:val="0"/>
        </w:rPr>
        <w:t xml:space="preserve"> minētā iznākuma rādītāja vērtību paredzēts nodrošināt vismaz 20 hektāru platībā, attiecināmā Eiropas Reģionālās attīstības fonda finansējuma apmērs nepārsniedz 95 procentus no projekta kopējā attiecināmā finansējuma. Šajā punktā minētajā gadījumā tiek samazināts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kopējā attiecināmā un nacionālā līdzfinansējuma apmērs.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Eiropas Reģionālās attīstības fonda finansējumu piešķir granta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atlases kārtas ietvaros ir pašvaldība vai tās iestāde, kuras administratīvajā teritorijā esošajā nacionālas nozīmes plūdu riska teritorijā jāīsteno upju baseinu apgabala plūdu riska pārvaldības plānā 2022.–2027. gadam noteiktie pasākumi plūdu riska un krasta erozijas novēršanai vai samazināšanai. Eiropas Reģionālās attīstības fonda finansējumu, rādītājus un darbības plāno saskaņā ar Ministru kabineta rīkojumu par pasākuma atlases kārtas projektu ideju priekšatlasi un to iesniedzējiem. 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iesniegumu var iesniegt šādas pašvaldības, tai skaitā šo pašvaldību izveidotas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Ādažu novada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Daugavpils valstspilsētas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Dienvidkurzemes novada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Jelgavas valstspilsētas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Jēkabpils novada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Jūrmalas valstspilsētas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Liepājas valstspilsētas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Ogres novada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Rīgas valstspilsētas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Valmieras novada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Ventspils valstspilsētas pašvaldība.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nodrošina, ka tam līdz būvdarbu uzsākšanas brīdim ir tiesības veikt būvdarbus zemesgabalos (arī zem ūdensobjekta esošos zemesgabalos), kur paredzēts īstenot projektu, kā arī ir ievērotas tiesību aktos par ietekmes uz vidi novērtējumu noteiktās prasības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sagatavo projekta iesniegumu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veic vispārīgu projekta ietekmes uz tautsaimniecību novērtējumu, noformē to apraksta veidā un pievieno projekta iesniegumam. Novērtējuma pielikumā var pievienot izmaksu un ieguvumu analīzi par projekta īstenošanas finanšu un ekonomiskajiem ieguvumiem.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Atlases kārtas ietvaros ir atbalstāma aizsargdambju, pretplūdu un saistīto inženiertīklu izbūve, pārbūve un atjaunošana, kā arī "zaļās" un "zilās" infrastruktūras izbūve plūdu un erozijas apdraudējuma mazināšanai.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Atlases kārtas ietvaros nav atbalstāma: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nozīmes meliorācijas sistēmu izbūve, pārbūve un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īpašumā esošu polderu infrastruktūras izbūve, pārbūve un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upes un citu ūdensobjektu gultnes un apauguma tīrīšana, ja vien tās nav darbības, kas nepieciešamas "zaļās" un "zilās" infrastruktūras izveidei.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Atlases kārtas ietvaros plāno 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izmaksas, tai skaitā "zaļās" un "zilās" infrastruktūras un inženiertīklu izbūves, atjaunošanas, pārbūves, nojaukšanas vai demontāžas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būvobjekta sagatavošanas un objekta teritorijas labiekārtošanas izmaksas, nepārsniedzot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apakšpunktā</w:t>
      </w:r>
      <w:r w:rsidR="00000000" w:rsidRPr="00000000" w:rsidDel="00000000">
        <w:rPr>
          <w:rtl w:val="0"/>
        </w:rPr>
        <w:t xml:space="preserve"> minētās darbības īstenošanai – zīmju valodas tulku, vieglās valodas tulkošanas, reāllaika transkripcijas un subtitru nodrošināšanas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minētās darbības īstenošanai – vides piekļūstamības ekspertu konsultāciju nodrošināšanas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iesniegumu pamatojošās dokumentācijas sagatavošanas un projekta īstenošanas izmaksas, kas tieši saistītas ar projektā plānotajām darbībām, nepārsniedzot 10 procentus no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izstrādes, autoruzraudzības un būvdarbu būvuzraudzības izmaksas, ja to veikšanu nosaka būvniecības jomu regulējošie normatīvie akti;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hidroloģiskā vai hidroģeoloģiskā modeļa un hidroloģisko vai hidraulisko (vai līdzvērtīgu – morfodinamisko, hidrodinamisko) aprēķinu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 vispārīgas ietekmes uz tautsaimniecību novērtējuma, tai skaitā izmaksu un ieguvumu analīzes (ja nepieciešams),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sugu un biotopu aizsardzības jomā sertificēta eksperta atzinuma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ietekmes uz vidi novērtējuma un sākotnējā izvērtējuma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nekustamā īpašuma iegādes izmaksas un ar tā iegādi saistītās uzmērīšanas, inventarizācijas un piespiedu atsavināšanas izmaksas, tai skaitā ar īpašuma tiesību nostiprināšanu zemesgrāmatā saistītās izmaksas, ja tās ir radušās uz nekustamā īpašuma piespiedu atsavināšanas pamata, nepārsniedzot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noteiktās inženiertīklu atjaunošanas, pārbūves, nojaukšanas un demontāžas izmaksas projekta iesniegumā izdala atsevišķi, un tās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apakšpunktā</w:t>
      </w:r>
      <w:r w:rsidR="00000000" w:rsidRPr="00000000" w:rsidDel="00000000">
        <w:rPr>
          <w:rtl w:val="0"/>
        </w:rPr>
        <w:t xml:space="preserve"> noteiktās izmaksas var iekļaut projektā līdz 15 procentiem no projekta kopējām attiecināmajām izmaksām, ja projekts apstiprināts saskaņā ar šo noteikumu </w:t>
      </w:r>
      <w:r w:rsidR="00000000" w:rsidRPr="00000000" w:rsidDel="00000000">
        <w:rPr>
          <w:rtl w:val="0"/>
        </w:rPr>
        <w:t xml:space="preserve">10.</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izmaksas ir attiecināmas no 2023. gada 1. janvāra. Projekta iesniegumā paredzētie būvdarbi nevar būt pabeigti un būves nodotas ekspluatācijā, pirms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sedz ārpus projekta no finansējuma saņēmēja līdzekļiem. Ārpus projekta nedrīkst paredzēt izmaksas par darbībām, kas tiešā veidā nodrošina projekta mērķa sasniegšanu, izņemot šo noteikumu </w:t>
      </w:r>
      <w:r w:rsidR="00000000" w:rsidRPr="00000000" w:rsidDel="00000000">
        <w:rPr>
          <w:rtl w:val="0"/>
        </w:rPr>
        <w:t xml:space="preserve">31.3.</w:t>
      </w:r>
      <w:r w:rsidR="00000000" w:rsidRPr="00000000" w:rsidDel="00000000">
        <w:rPr>
          <w:rtl w:val="0"/>
        </w:rPr>
        <w:t xml:space="preserve"> apakšpunktā</w:t>
      </w:r>
      <w:r w:rsidR="00000000" w:rsidRPr="00000000" w:rsidDel="00000000">
        <w:rPr>
          <w:rtl w:val="0"/>
        </w:rPr>
        <w:t xml:space="preserve"> minētās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Projektā var paredzēt līdzekļus neparedzētiem izdevumiem, kas nepārsniedz piecus procentus no projekta kopējām attiecināmajām izmaksām. Neparedzētie izdevumi ir izdevumi tādu papildu darbu vai pakalpojumu veikšanai, kas kļuvuši nepieciešami, lai varētu izpildīt vienošanos par projekta īstenošanu, un izmantojami ar projekta īstenošanu saistīto attiecināmo izmaksu segšanai. Neparedzēto izmaksu izmantošanu pirms izmaksu veikšanas finansējuma saņēmējs saskaņo ar sadarbības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projektā plāno vai projekta iesniegumā izvērtē šādas horizontālā principa "Nenodarīt būtisku kaitējumu"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atjaunojamo, pārbūvējamo un izbūvējamo dambju kalpošanas ilgums ir vismaz 50 gadi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daļa no būvdarbu laikā izraktā materiāla tiks izmantota atkārtoti (ja iespējams);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daļā labiekārtošanas darbu melnzemes vietā tiks izmantots no bioloģiski noārdāmiem atkritumiem (dārzu un parku atkritumiem) sagatavots komposts;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darbībām tiks veikts ietekmes uz vidi novērtējums vai sākotnējais izvērtējums;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procesa laikā tiks ievērotas prasības par koku ciršanas aizliegumu putnu ligzdošanas periodā un nodrošināta esošo koku veselības stāvokļa aizsardzība, tai skaitā nekaitējot koku saknēm;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darbību rezultātā netiks pasliktināts Eiropas Savienības nozīmes biotopu un sugu stāvoklis.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Atlases kārtas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Atlases kārtas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ietvaros, veicot iepirkumus, nodrošina vides prasību integrāciju preču, pakalpojumu un būvdarbu iepirkumos (zaļais publiskais iepirkums), ja attiecināms. Atbalstāma ir vides piekļūstamības un izmantojamības nodrošināšana, veicot sociāli atbildīgu iepirkumu, kur tas ir attiecināms un atbilstošs ieguldījumu specifikai.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w:t>
      </w:r>
      <w:r w:rsidR="00000000" w:rsidRPr="00000000" w:rsidDel="00000000">
        <w:rPr>
          <w:rtl w:val="0"/>
        </w:rPr>
        <w:t xml:space="preserve">2021/1060</w:t>
      </w:r>
      <w:r w:rsidR="00000000" w:rsidRPr="00000000" w:rsidDel="00000000">
        <w:rPr>
          <w:rtl w:val="0"/>
        </w:rPr>
        <w:t xml:space="preserve"> 47. un 50. pantu un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sadārdzinājumu sedz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projektā neiestājas dubultā finansējuma risks un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īpašumā vai valdījumā visā projekta īstenošanas laikā un šīs īpašuma vai valdījuma tiesības ir nostiprinātas zemesgrāmatā (ja attiecināms), un pēc noslēguma maksājuma veikšanas – termiņā, kas nav īsāks par šo noteikumu </w:t>
      </w:r>
      <w:r w:rsidR="00000000" w:rsidRPr="00000000" w:rsidDel="00000000">
        <w:rPr>
          <w:rtl w:val="0"/>
        </w:rPr>
        <w:t xml:space="preserve">27.1.</w:t>
      </w:r>
      <w:r w:rsidR="00000000" w:rsidRPr="00000000" w:rsidDel="00000000">
        <w:rPr>
          <w:rtl w:val="0"/>
        </w:rPr>
        <w:t xml:space="preserve"> apakšpunktā</w:t>
      </w:r>
      <w:r w:rsidR="00000000" w:rsidRPr="00000000" w:rsidDel="00000000">
        <w:rPr>
          <w:rtl w:val="0"/>
        </w:rPr>
        <w:t xml:space="preserve"> minēto termiņu (ja attiecināms), tādējādi nodrošinot tam tiesības piekļūt zemesgabaliem, kur paredzēts īstenot projektu un veikt tajos infrastruktūras uzturēšanas darbus;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projekta rezultātu ilgtspēju, tai skaitā infrastruktūras ekspluatāciju, uzturēšanu un apsaimniekošanu vismaz piecus gadus pēc projekta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pēc projekta pabeigšanas vismaz 10 gadus projekta ietvaros izveidotā infrastruktūra tiek izmantota projekta, pasākuma un atlases kārtas mērķa nodrošināšanai, vienlaikus ievērojot šo noteikumu </w:t>
      </w:r>
      <w:r w:rsidR="00000000" w:rsidRPr="00000000" w:rsidDel="00000000">
        <w:rPr>
          <w:rtl w:val="0"/>
        </w:rPr>
        <w:t xml:space="preserve">27.1.</w:t>
      </w:r>
      <w:r w:rsidR="00000000" w:rsidRPr="00000000" w:rsidDel="00000000">
        <w:rPr>
          <w:rtl w:val="0"/>
        </w:rPr>
        <w:t xml:space="preserve"> apakšpunktā</w:t>
      </w:r>
      <w:r w:rsidR="00000000" w:rsidRPr="00000000" w:rsidDel="00000000">
        <w:rPr>
          <w:rtl w:val="0"/>
        </w:rPr>
        <w:t xml:space="preserve"> minēto kalpošanas ilgumu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vienlīdzība, iekļaušana, nediskriminācija un pamattiesību ievērošana. Finansējuma saņēmējs nodrošina šā principa vispārīgās un specifiskās darbības un uzkrāj datus par šādu horizontālā principa rādītāju: objektu skaits, kuros Eiropas Reģionālās attīstības fonda ieguldījumu rezultātā ir nodrošināta vides un informācijas pieejamība. Vienlaikus ar informāciju par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rādītāju vērtības sasniegšanu finansējuma saņēmējs sniedz ziņas sadarbības iestādei par šajā apakšpunktā minēto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novērš interešu konflikta risku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 un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iznākuma un rezultāta rādītāju sasniegšanas progresu.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atbilst spējai to izlietot sešu mēnešu laikā saimnieciskā gada ietvaros.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24-TA-1782</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24-TA-1782</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noteikumu_konsolidētā_versija_24-TA-1782.docx</dc:title>
</cp:coreProperties>
</file>

<file path=docProps/custom.xml><?xml version="1.0" encoding="utf-8"?>
<Properties xmlns="http://schemas.openxmlformats.org/officeDocument/2006/custom-properties" xmlns:vt="http://schemas.openxmlformats.org/officeDocument/2006/docPropsVTypes"/>
</file>