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Ārstniecības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1997, 15. nr.; 1998, 7. nr.; 2000, 13. nr.; 2001, 15. nr.; 2004, 9., 13. nr.; 2005, 14. nr.; 2006, 14. nr.; 2007, 8., 21., 24. nr.; 2008, 13. nr.; 2009, 10., 15. nr.; Latvijas Vēstnesis, 2009, 200., 205. nr.; 2010, 105., 170. nr.; 2011, 62. nr.; 2012, 108. nr.; 2013, 87. nr.; 2014, 194. nr.; 2015, 127. nr.; 2016, 249. nr.; 2017, 117., 242. nr.; 2018, 253. nr.; 2020, 106. nr.; 2022, 13., 45.A, 85.A nr.; 2023, 201., 246. nr.; 2024, 227.nr.)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38. un 39.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38) digitālā veselība - rīki un pakalpojumi, kuros izmanto informācijas un komunikāciju tehnoloģijas, lai uzlabotu profilaksi, diagnostiku, ārstēšanu, uzraudzību un pārvaldību veselības jomā;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 pacientu datu apstrādes informācijas sistēma - programmatūra, kas dod iespēju apstrādāt personas elektroniskos veselības datus un kura paredzēta izmantošanai veselības aprūpes pakalpojumu sniedzējiem veselības aprūpes pakalpojumu sniegšanai vai pacientiem, lai piekļūtu saviem elektroniskajiem veselības datiem."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9. pantu ar astoto daļu šādā redakcijā: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Ministru kabinets nosaka Latvijas iedzīvotāju nāves cēloņu datu bāzes pārzini, šajā valsts informācijas sistēmā iekļaujamās informācijas apjomu un apstrādes kārtību, kā arī nosacījumus piekļuves nodrošināšanai valsts informācijas sistēmā iekļautajai informācijai."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55. pantu ar trešo un </w:t>
      </w:r>
      <w:r w:rsidR="00000000" w:rsidRPr="00000000" w:rsidDel="00000000">
        <w:rPr>
          <w:color w:val="#000000"/>
          <w:rtl w:val="0"/>
        </w:rPr>
        <w:t xml:space="preserve">ceturto</w:t>
      </w:r>
      <w:r w:rsidR="00000000" w:rsidRPr="00000000" w:rsidDel="00000000">
        <w:rPr>
          <w:color w:val="#e67e22"/>
          <w:rtl w:val="0"/>
        </w:rPr>
        <w:t xml:space="preserve"> </w:t>
      </w:r>
      <w:r w:rsidR="00000000" w:rsidRPr="00000000" w:rsidDel="00000000">
        <w:rPr>
          <w:rtl w:val="0"/>
        </w:rPr>
        <w:t xml:space="preserve">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Komersanta nosaukumā (firmā) vai tā izkārtnē nedrīkst ietvert maldinošu vārdu, kas var radīt iespaidu par ārstniecības pakalpojumu sniegšanu, ja pakalpojums tiek sniegts cilvēka veselībai un tas nav ārstniecības pakalpojums."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color w:val="#000000"/>
          <w:rtl w:val="0"/>
        </w:rPr>
        <w:t xml:space="preserve">"(4) V</w:t>
      </w:r>
      <w:r w:rsidR="00000000" w:rsidRPr="00000000" w:rsidDel="00000000">
        <w:rPr>
          <w:rtl w:val="0"/>
        </w:rPr>
        <w:t xml:space="preserve">eselības inspekcija uzrauga šā panta trešajā daļā minēto prasību ievērošanu un ir tiesīga izdot administratīvu aktu, kurā noteikts pienākums atbilstošā veidā un termiņā novērst konstatēto neatbilstību."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XIV. nodaļas nosaukumu šādā redakcijā: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"XIV nodaļa. Pacienta veselības datu elektroniska apstrāde un veselības informācijas sistēma"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78. pantu ar ceturto, piekto, sesto, septīto, astoto un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Ārstniecības iestādei neatkarīgi no tās juridiskā statusa un veselības aprūpes pakalpojuma apmaksātāja ir pienākums sniegt pacienta veselības datus veselības informācijas sistēmai normatīvajos aktos par vienoto veselības nozares elektronisko informācijas sistēmu un medicīnisko dokumentu lietvedības kārtību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aprūpes pakalpojumu sniedzējam, nodrošinot pacienta veselības aprūpi, ir pienākums normatīvajos aktos noteiktajā kārtībā iepazīties ar  veselības informācijas sistēmā uzkrātajiem datiem par pacientu.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Ārstniecības iestāde pacienta veselības datu sniegšanu veselības informācijas sistēmai un piekļuvi veselības informācijas sistēmā uzkrātajiem datiem var nodrošināt izmantojot veselības informācijas sistēmas lietotāja saskarni vai pacientu datu apstrādes informācijas sistēmu, kas atbilst Ministru kabineta noteiktajām tehniskajām un drošības prasībām pacientu datu apstrādes informācijas sistēmām, ko apliecina SIA "Latvijas Digitālās veselības centrs" izsniegta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obligātās drošības un tehniskās prasības pacientu datu apstrādes informācijas sistēmām un pacientu datu apstrādes informācijas sistēmu licencēšanas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 ar ierobežotu atbildību "Latvijas Digitālās veselības centrs" nodrošina digitālās veselības politikas īstenošanu. Digitālās veselības politikas īstenošanas ietvaros sabiedrība ar ierobežotu atbildību "Latvijas Digitālās veselības centrs" veic šādus uzdevumus: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attīsta veselības informācijas sistēmu un elektroniskos pakalpojumus atbilstoši digitālās veselības politikai, nozares prioritātēm un lietotāju vajadzībām, lai nodrošinātu pacienta veselības datu pieejamību elektroniski šī panta pirmajā daļā noteikto mērķu sasniegšanai;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nosaka prasības, lai nodrošinātu kvalitatīvu datu apmaiņu starp veselības informācijas sistēmu un pacientu datu apstrādes informācijas sistēmām;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attīsta, organizē un koordinē datu apmaiņu starp veselības informācijas sistēmu un citām veselības nozares valsts informācijas sistēmām, kā arī ar nacionālā e-veselības kontaktpunkta starpniecību attīsta datu pārrobežu apmaiņu;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sniedz konsultatīvu atbalstu par pacienta veselības datu apstrādes jautājumiem veselības informācijas sistēmā veselības informācijas sistēmas lietotājiem un  tos pārstāvošajām biedrībām un nodibinājumiem, valsts pārvaldes institūcijām un citām institūcijām, kas apstrādā, tai skaitā, rada un izmanto veselības datus, pacienta veselības datu elektroniskas apstrādes jomā;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pārvalda veselības nozares valsts līmeņa digitālos risinājumus, izstrādājot un uzturot aktuālu veselības nozares domēna mērķarhitektūru;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nodrošina veselības nozares valsts informācijas sistēmu informācijas un komunikācijas tehnoloģiju infrastruktūras uzturēšanu un attīstību, slēdzot līgumus ar sistēmu pārziņiem;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sniedz priekšlikumus par veselības informācijas sistēmas un veselības nozares valsts informācijas sistēmu attīstības prioritātēm un mērķiem un izstrādā rīcības plānus šo valsts informācijas sistēmu attīstībai, pārvaldībai un uzturēšanai;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piesaista investīcijas pacientu veselības datu digitalizācijas veicināšanai un digitālu pakalpojumu attīstīšanai."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46., 47. un 48. punktu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  Ministru kabinets līdz 2026. gada 30. decembrim izdod šā likuma 9. panta astotajā daļā minētos Ministru kabineta noteikumus.</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 Šā likuma 78. panta sestā daļa stājas spēkā 2028.gada 1. janvārī.</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 Ministru kabinets līdz 2026.gada 30. decembrim izdod šā likuma 78.panta septītajā daļā minētos Ministru kabineta noteikumus.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 Komersants, kura nosaukumā (firmā) un/vai izkārtnē ir maldinošs vārds vai vārdi, kas var radīt iespaidu par ārstniecības pakalpojumu sniegšanu, ja pakalpojums tiek sniegts cilvēka veselībai un tas nav ārstniecības pakalpojums, nodrošina komersanta nosaukuma (firmas) un/vai izkārtnes  maiņu 12 mēnešu laikā pēc likuma 55.panta trešās daļas spēkā stāšanās."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25-TA-453</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25-TA-453</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likumprojekts_(grozījumi)_25-TA-453.docx</dc:title>
</cp:coreProperties>
</file>

<file path=docProps/custom.xml><?xml version="1.0" encoding="utf-8"?>
<Properties xmlns="http://schemas.openxmlformats.org/officeDocument/2006/custom-properties" xmlns:vt="http://schemas.openxmlformats.org/officeDocument/2006/docPropsVTypes"/>
</file>