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janvārī (prot. Nr. 1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31. marta noteikumos Nr. 173 "Noteikumi par samazinātās akcīzes nodokļa likmes piemērošanu zvejniecībā izmantojamai dīzeļdegvielai"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w:t>
      </w:r>
      <w:r>
        <w:br/>
      </w:r>
      <w:r w:rsidR="00000000" w:rsidRPr="00000000" w:rsidDel="00000000">
        <w:rPr>
          <w:rStyle w:val="paragraph"/>
          <w:i w:val="1"/>
          <w:rtl w:val="0"/>
        </w:rPr>
        <w:t xml:space="preserve">18. panta 6.</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31. marta noteikumos Nr. 173 "Noteikumi par samazinātās akcīzes nodokļa likmes piemērošanu zvejniecībā izmantojamai dīzeļdegvielai" (Latvijas Vēstnesis, 2020, 66. nr.; 2021, 225.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Samazināto akcīzes nodokļa likmi marķētai dīzeļdegvielai piemēro saskaņā ar Komisijas 2014. gada 17. jūnija Regulas (EK) Nr. 651/2014, ar ko noteiktas atbalsta kategorijas atzīst par saderīgām ar iekšējo tirgu, piemērojot Līguma 107. un 108. pantu (Eiropas Savienības Oficiālais Vēstnesis, 2014. gada 26. jūnijs, Nr. L 187) (turpmāk – regula Nr. 651/2014), 44. panta 1., 2. un 3. punktu, kā arī citiem normatīvajiem aktiem akcīzes nodokļa piemērošanas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Samazināto akcīzes nodokļa likmi šo noteikumu ietvaros nevar kumulēt ar citu </w:t>
      </w:r>
      <w:r w:rsidR="00000000" w:rsidRPr="00000000" w:rsidDel="00000000">
        <w:rPr>
          <w:i w:val="1"/>
          <w:rtl w:val="0"/>
        </w:rPr>
        <w:t xml:space="preserve">de minimis</w:t>
      </w:r>
      <w:r w:rsidR="00000000" w:rsidRPr="00000000" w:rsidDel="00000000">
        <w:rPr>
          <w:rtl w:val="0"/>
        </w:rPr>
        <w:t xml:space="preserve"> atbalstu vai citu atbalstu par tām pašām attiecināmajām izmaksām citu aktivitāšu ietvaros no vietējiem, reģionālajiem, valsts vai Eiropas Savienības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regulas Nr. 651/2014 1. panta 2. punkta "c" un "d"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ja uzņēmums, kurš darbojas gan regulas Nr. 651/2014 1. panta 3. punkta pirmās daļas "a", "b" vai "c" apakšpunktā minētajās nozarēs, gan citās nozarēs, uz kurām attiecas šīs regulas darbības joma, nenodrošina izmaksu un darbību nošķiršanu tā, lai darbības izslēgtajās nozarēs negūtu labumu no atbalsta, kas piešķirts saskaņā ar šo regulu;".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regulas Nr. 651/2014 1. panta 4. punkta "a"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Samazināto akcīzes nodokļa likmi nepiemēro, ja persona atbilst vismaz vienam no regulas Nr. 651/2014 2. panta 18.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Saskaņā ar regulas Nr. 651/2014 12. pantu zvejnieks ar marķētās dīzeļdegvielas piešķiršanu saistītos dokumentus glabā 10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Par atbalsta piešķiršanas dienu uzskatāma diena, kad Lauku atbalsta dienests pieņēmis šo noteikumu 11.5. apakšpunktā minēto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fiskālais marķieris – ķīmiskā viela butoksibenzols (CAS Nr. 1126-79-0) – vismaz 9,5 grami, bet ne vairāk kā 14,0 grami;".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nodrošina regulas Nr. 651/2014 9. panta 1., 2. un 4. punktā noteikto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"26.4. nodrošina regulas Nr. 651/2014 12. pantā noteikto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"26.5. lēmumu par samazinātās akcīzes nodokļa likmes piemērošanu pieņem līdz regulas Nr. 651/2014 58. panta 4. un 5. punktā un 59. pantā noteiktā piemērošanas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Ja ir pārkāptas regulas Nr. 651/2014 prasības, zvejniekam ir pienākums iemaksāt valsts budžetā visu saskaņā ar šiem noteikumiem saņemto nelikumīgo valsts atbalsta summu kopā ar procentiem, ko Valsts ieņēmumu dienests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5715000" cy="28575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715000" cy="285750"/>
                    </a:xfrm>
                    <a:prstGeom prst="rect"/>
                    <a:ln/>
                  </pic:spPr>
                </pic:pic>
              </a:graphicData>
            </a:graphic>
          </wp:inline>
        </w:drawing>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nelikumīgā valsts atbalsta apmēra un nelikumīgā valsts atbalsta procentu summa par saņemto minētā atbalsta apmēru nelikumīgā valsts atbalsta procentu aprēķina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w:t>
      </w:r>
      <w:r w:rsidR="00000000" w:rsidRPr="00000000" w:rsidDel="00000000">
        <w:rPr>
          <w:vertAlign w:val="subscript"/>
          <w:rtl w:val="0"/>
        </w:rPr>
        <w:t xml:space="preserve">n</w:t>
      </w:r>
      <w:r w:rsidR="00000000" w:rsidRPr="00000000" w:rsidDel="00000000">
        <w:rPr>
          <w:rtl w:val="0"/>
        </w:rPr>
        <w:t xml:space="preserve"> – katrs faktiski saņemtais nelikumīgais valsts atbalsta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nelikumīgā valsts atbalsta saņemšanas gadījumi;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w:t>
      </w:r>
      <w:r w:rsidR="00000000" w:rsidRPr="00000000" w:rsidDel="00000000">
        <w:rPr>
          <w:vertAlign w:val="subscript"/>
          <w:rtl w:val="0"/>
        </w:rPr>
        <w:t xml:space="preserve">y</w:t>
      </w:r>
      <w:r w:rsidR="00000000" w:rsidRPr="00000000" w:rsidDel="00000000">
        <w:rPr>
          <w:rtl w:val="0"/>
        </w:rPr>
        <w:t xml:space="preserve"> – atsauces likme, izteikta procentos, kuru publicē Eiropas Komisija saskaņā ar Komisijas 2004. gada 21. aprīļa Regulas (EK) Nr. 794/2004, ar ko īsteno Padomes Regulu (ES) 2015/1589, ar ko nosaka sīki izstrādātus noteikumus Līguma par Eiropas Savienības darbību 108. panta piemērošanai, 10. pantu un kura bija spēkā brīdī, kad nelikumīgais valsts atbalsta apmērs saņemts, procentiem pieskaitot 100 bāzes punktus;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 – katram saņemtajam nelikumīgajam valsts atbalsta apmēram piemērojamo atsauces likmi pārskata katru gadu un attiecībā uz nākamo periodu piemēro atjaunoto (t + 1) atsauces likmi attiecīgā atbalsta piešķiršanas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vertAlign w:val="subscript"/>
          <w:rtl w:val="0"/>
        </w:rPr>
        <w:t xml:space="preserve">n</w:t>
      </w:r>
      <w:r w:rsidR="00000000" w:rsidRPr="00000000" w:rsidDel="00000000">
        <w:rPr>
          <w:rtl w:val="0"/>
        </w:rPr>
        <w:t xml:space="preserve"> – nelikumīgā valsts atbalsta procentu aprēķina periods, izteikts dienās, katram saņemtajam nelikumīgajam valsts atbalsta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Nelikumīgi izmaksātā valsts atbalsta un procentu summu, kas aprēķināta atbilstoši šo noteikumu 29.</w:t>
      </w:r>
      <w:r w:rsidR="00000000" w:rsidRPr="00000000" w:rsidDel="00000000">
        <w:rPr>
          <w:vertAlign w:val="superscript"/>
          <w:rtl w:val="0"/>
        </w:rPr>
        <w:t xml:space="preserve">1</w:t>
      </w:r>
      <w:r w:rsidR="00000000" w:rsidRPr="00000000" w:rsidDel="00000000">
        <w:rPr>
          <w:rtl w:val="0"/>
        </w:rPr>
        <w:t xml:space="preserve"> punktam, zvejnieks samaksā valsts budžetā 30 dienu laikā pēc Valsts ieņēmumu dienesta lēmuma saņemšanas. Ja zvejnieks lēmumā norādītajā termiņā nesamaksā aprēķināto nelikumīgi izmaksātā valsts atbalsta un procentu summu, to piedzen nodokļu administrēšanas jomu regulējošajos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Komersants marķēto dīzeļdegvielu līdz 2024. gada 30. jūnijam drīkst realizēt zvejniekam Latvijas Republikā, papildus nepievienojot šo noteikumu 12.1. apakšpunktā minēto ķīmisko vielu (fiskālo marķieri), ja iezīmētiem naftas produktiem uz 1000 litriem ir pievienota ķīmiskā viela N-etil-n-[2-(1-izobutoksietoksi)etil]-4-(fenilazo)anilīns (</w:t>
      </w:r>
      <w:r w:rsidR="00000000" w:rsidRPr="00000000" w:rsidDel="00000000">
        <w:rPr>
          <w:i w:val="1"/>
          <w:rtl w:val="0"/>
        </w:rPr>
        <w:t xml:space="preserve">Solvent Yellow</w:t>
      </w:r>
      <w:r w:rsidR="00000000" w:rsidRPr="00000000" w:rsidDel="00000000">
        <w:rPr>
          <w:rtl w:val="0"/>
        </w:rPr>
        <w:t xml:space="preserve"> 124, CAS Nr. 34432-92-3) – vismaz 6,0 grami, bet ne vairāk kā 9,0 grami."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Zvejnieks līdz 2024. gada 30. jūnijam ir tiesīgs iegādāties marķēto dīzeļdegvielu, kurai uz 1000 litriem dīzeļdegvielas ir pievienots fiskālais marķieris – ķīmiskā viela N-etil-n-[2-(1-izobutoksietoksi)etil]-4-(fenilazo)anilīns (</w:t>
      </w:r>
      <w:r w:rsidR="00000000" w:rsidRPr="00000000" w:rsidDel="00000000">
        <w:rPr>
          <w:i w:val="1"/>
          <w:rtl w:val="0"/>
        </w:rPr>
        <w:t xml:space="preserve">Solvent Yellow</w:t>
      </w:r>
      <w:r w:rsidR="00000000" w:rsidRPr="00000000" w:rsidDel="00000000">
        <w:rPr>
          <w:rtl w:val="0"/>
        </w:rPr>
        <w:t xml:space="preserve"> 124, CAS Nr. 34432-92-3) – vismaz 6,0 grami, bet ne vairāk kā 9,0 grami."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23-TA-2484</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23-TA-2484</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noteikumu_(grozījumu)_projekts_23-TA-2484.docx</dc:title>
</cp:coreProperties>
</file>

<file path=docProps/custom.xml><?xml version="1.0" encoding="utf-8"?>
<Properties xmlns="http://schemas.openxmlformats.org/officeDocument/2006/custom-properties" xmlns:vt="http://schemas.openxmlformats.org/officeDocument/2006/docPropsVTypes"/>
</file>