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3.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meža ieaudzēšanai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7"/>
        <w:gridCol w:w="1920"/>
        <w:gridCol w:w="4632"/>
        <w:gridCol w:w="1097"/>
        <w:gridCol w:w="901"/>
        <w:tblGridChange w:id="0">
          <w:tblGrid>
            <w:gridCol w:w="337"/>
            <w:gridCol w:w="1920"/>
            <w:gridCol w:w="4632"/>
            <w:gridCol w:w="1097"/>
            <w:gridCol w:w="90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Punktu skaits kritērijā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Maksimāli iespējamais punktu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Erozijai pakļautā zemes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Mežs tiek ieaudzēts erozijai pakļautā zemes vienībā (E2, 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Mežs netiek ieaudzēts erozijai pakļautā zemes vienībā (E2, 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kvalitatīvais novērtējums ballēs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kvalitātes grupa – līdz 10 ballēm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kvalitātes grupa – no 11 līdz 20 ballēm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kvalitātes grupa – vairāk par 20 ballēm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Kūdras augsne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Kūdras augsne aizņem vismaz 50 procentu no kopējās platības, kurā plānots īstenot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Kūdras augsne aizņem ne vairāk kā 50 procentu no kopējās platības, kurā plānots īstenot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 aizņem vismaz 50 procentu no kopējās platības, kurā plānots īstenot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 aizņem ne vairāk kā 50 procentu no kopējās platības, kurā plānots īstenot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ieaudzēšana paredzēta dabas aizsardzības plānā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ieaudzēšana ir paredzēta īpaši aizsargājamās dabas teritorijas dabas aizsardzības plānā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(fiziskai personai) ir augstākā vai vidējā speciālā mežsaimnieciskā izglītība vai pretendents ir meža īpašnieku kooperatīva (mežsaimniecības pakalpojumu kooperatīvās sabiedrības) vai biedrību un nodibinājumu reģistrā reģistrētas meža īpašnieku biedrības biedrs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(fiziska persona) ir apguvis mežsaimniecības mācību kursu Lauku attīstības programmas 2014.–2020. gadam pasākuma "Zināšanu pārneses un informācijas pasākumi" apakšpasākumā "Profesionālās izglītības un prasmju apguves pasākumi" un mežsaimniecības mācību kursu Latvijas Kopējās lauksaimniecības politikas stratēģiskā plāna 2023.–2027. gadam intervencē "Profesionālo zināšanu un prasmju pilnveide"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(fiziska persona) ir apguvis mežsaimniecības mācību kursu Lauku attīstības programmas 2014.–2020. gadam pasākuma "Zināšanu pārneses un informācijas pasākumi" apakšpasākumā "Profesionālās izglītības un prasmju apguves pasākumi" vai mežsaimniecības mācību kursu Latvijas Kopējās lauksaimniecības politikas stratēģiskā plāna 2023.–2027. gadam intervencē "Profesionālo zināšanu un prasmju pilnveide"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esošā meža platība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200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500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500,1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pretendenta atbalstam pieteiktās platības lielums kārtā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5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140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punktu skaits, lai pretendētu uz atbalstu, ir 30 punktu.</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Meža īpašnieku biedrība Biedrību un nodibinājumu reģistrā ir reģistrēta vismaz trīs gadus.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23-TA-395</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23-TA-395</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noteikumu_projekts_p3_23-TA-395.docx</dc:title>
</cp:coreProperties>
</file>

<file path=docProps/custom.xml><?xml version="1.0" encoding="utf-8"?>
<Properties xmlns="http://schemas.openxmlformats.org/officeDocument/2006/custom-properties" xmlns:vt="http://schemas.openxmlformats.org/officeDocument/2006/docPropsVTypes"/>
</file>