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 novembrī (prot. Nr. 55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jūnija noteikumos Nr. 349 "Noteikumi par aizdevumu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jūnija noteikumos Nr. 349 "Noteikumi par aizdevumu programmu pret Ukrainu vērstās Krievijas militārās agresijas radīto ekonomisko seku mazināšanai" (Latvijas Vēstnesis, 2022, 120.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Attīstības finanšu institūcijas likuma 12. panta ceturto daļu un Pret Ukrainu vērstās Krievijas militārās agresijas dēļ piemēroto sankciju un pretpasākumu izraisīto ekonomisko seku pārvarēšanas atbalsta likuma 4.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īstenojama aizdevumu programma pret Ukrainu vērstās Krievijas militārās agresijas radīto ekonomisko seku mazināšanai (turpmāk – aizdevumu programma), aizdevumu programmas īstenošanas kārtību, finansējumu, atbalstāmo darbību nosacījumus, izmaksu attiecināmības nosacījumus atbalsta piešķiršanai, neatbalstāmās nozares un darbības, atbalsta piešķiršanas un administrēšanas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Atbalsta piešķiršanas mērķis ir nodrošināt finansējuma pieejamību aizdevumu veidā saimnieciskās darbības veicējiem atbilstoši Pret Ukrainu vērstās Krievijas militārās agresijas dēļ piemēroto sankciju un pretpasākumu izraisīto ekonomisko seku pārvarēšanas atbalsta likuma 2. panta pirmajai daļai un trešās daļas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Sabiedrībai "Altum" pieejamais finansējums aizdevumu programmas īstenošanai ir 21 500 000 </w:t>
      </w:r>
      <w:r w:rsidR="00000000" w:rsidRPr="00000000" w:rsidDel="00000000">
        <w:rPr>
          <w:i w:val="1"/>
          <w:rtl w:val="0"/>
        </w:rPr>
        <w:t xml:space="preserve">euro, </w:t>
      </w:r>
      <w:r w:rsidR="00000000" w:rsidRPr="00000000" w:rsidDel="00000000">
        <w:rPr>
          <w:rtl w:val="0"/>
        </w:rPr>
        <w:t xml:space="preserve">kas ir Covid-19 infekcijas izplatības seku pārvarēšanai krīzes aizdevumu programmas ietvaros atmaksātais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aizdevums ir nepieciešams, lai mazinātu negatīvo ietekmi uz saimnieciskās darbības veicēju saimniecisko darbību atbilstoši Pret Ukrainu vērstās Krievijas militārās agresijas dēļ piemēroto sankciju un pretpasākumu izraisīto ekonomisko seku pārvarēšanas atbalsta likuma 2. panta pirmajai daļai un trešās daļas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15 % no saimnieciskās darbības veicēja iepriekšējo triju noslēgto finanšu gadu vidējā apgrozījuma. Ja saimnieciskās darbības veicēji ir jaunizveidoti uzņēmumi, kuriem nav triju noslēgtu gada pārskatu, aizdevuma apjomu aprēķina, pamatojoties uz uzņēmuma pastāvēšanas ilgumu brīdī, kad uzņēmums iesniedz atbalsta pieteikumu;".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50 % no saimnieciskās darbības veicēja kopējām enerģijas izmaksām 12 mēnešu laikā pirms aizdevuma pieteikuma iesniegšanas mēneša. Ja saimnieciskās darbības veicēji ir jaunizveidoti uzņēmumi, kuriem nav uzskaites par visiem iepriekšējiem 12 mēnešiem, aizdevuma maksimālo apjomu aprēķina, pamatojoties uz uzņēmuma pastāvēšanas ilgumu brīdī, kad uzņēmums iesniedz atbalsta pieteikumu."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11. punktā minēto kopējo aizdevuma apmēru var palielināt, lai segtu likviditātes vajadzības, no atbalsta piešķiršanas brīža turpmākajiem 12 mēnešiem sīkajam (mikro), mazajam un vidējam saimnieciskās darbības veicējam un turpmākajiem sešiem mēnešiem lielajam saimnieciskās darbības veicējam atbilstoši saimnieciskās darbības veicēja sniegtajam apliecinājumam, nepārsniedzot šo noteikumu 10. punktā minēto maksimālo aizdevuma summu vienam saimnieciskās darbības veicējam. Ja lielajam saimnieciskās darbības veicējam sniedz finanšu nodrošinājumu tirdzniecības darbībām enerģijas tirgos, aizdevuma summu var palielināt, lai segtu likviditātes vajadzības, kas izriet no šīm darbībām nākamajos 12 mēnešos.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šo noteikumu ietvaros sniegto atbalstu par vienu un to pašu aizdevuma pamatsummu nedrīkst apvienot ar atbalstu, kuru sabiedrība "Altum" sniedz saskaņā ar normatīvajiem aktiem likviditātes aizdevumu garantiju veidā, lai mazinātu pret Ukrainu vērstās Krievijas militārās agresijas radītās sekas uz ekonomiku, vai saskaņā ar Ministru kabineta 2020. gada 19. marta noteikumiem Nr. 150 "Noteikumi par garantijām saimnieciskās darbības veicējiem, kuru darbību ietekmējusi Covid-19 izplatība" un Ministru kabineta 2020. gada 19. marta noteikumiem Nr. 149 "Noteikumi par apgrozāmo līdzekļu aizdevumiem saimnieciskās darbības veicējiem, kuru darbību ietekmējusi Covid-19 izplatība";".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22-TA-2258</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22-TA-2258</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noteikumu_(grozījumu)_projekts_22-TA-2258.docx</dc:title>
</cp:coreProperties>
</file>

<file path=docProps/custom.xml><?xml version="1.0" encoding="utf-8"?>
<Properties xmlns="http://schemas.openxmlformats.org/officeDocument/2006/custom-properties" xmlns:vt="http://schemas.openxmlformats.org/officeDocument/2006/docPropsVTypes"/>
</file>