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Aizdevuma procentu likme</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0"/>
        <w:gridCol w:w="2917"/>
        <w:gridCol w:w="1975"/>
        <w:gridCol w:w="1846"/>
        <w:gridCol w:w="1700"/>
        <w:tblGridChange w:id="0">
          <w:tblGrid>
            <w:gridCol w:w="450"/>
            <w:gridCol w:w="2917"/>
            <w:gridCol w:w="1975"/>
            <w:gridCol w:w="1846"/>
            <w:gridCol w:w="17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Saimnieciskās 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1.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4.–6.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Sīkie (mikro), mazie un vidējie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bāzes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Procentu likmes zemāko robežu nosaka Eiropas Komisija, 2022. gada 1. februārī publicētajai bāzes likmei pieskaitot tabulā norādītās kredītriska robežas atbilstoši saimnieciskās darbības veidam un aizdevuma termiņam, bet ne mazāk kā 10 bāzes punktus gadā. Zemākā kopējā aizdevumu likme sīkajiem (mikro), mazajiem un vidējiem saimnieciskās darbības veicējiem 1.–3. aizdevuma gadā nevar būt mazāk par 10 bāzes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22-TA-2258</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22-TA-2258</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noteikumu_(grozījumu)_projekts_p_22-TA-2258.docx</dc:title>
</cp:coreProperties>
</file>

<file path=docProps/custom.xml><?xml version="1.0" encoding="utf-8"?>
<Properties xmlns="http://schemas.openxmlformats.org/officeDocument/2006/custom-properties" xmlns:vt="http://schemas.openxmlformats.org/officeDocument/2006/docPropsVTypes"/>
</file>