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pieejamības uzlabošana"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likums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specifiskais atbalsta mērķis) 5.1.1.7. pasākumu "Reģionālās kultūras infrastruktūras attīstība kultūras pakalpojumu pieejamības uzlabošana"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atbalsta komercdarbībai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īstenošanu nodrošina Kultūras ministrija kā atbildīgā iestāde (turpmāk – atbildīgā iestāde) un sadarbības iestādes funkcijas veic Centrālā finanšu un līgumu aģentūra (turpmāk – sadarbības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uzlabot un attīstīt nacionālu vai reģionālu kultūras infrastruktūru, kas nodrošina profesionālās mākslas darbību vai atmiņas institūcijas funkciju, uzlabojot publiskas vides kvalitāti, veicinot esošo pakalpojumu pilnveidi un jaunu pakalpojumu izveidi, tādējādi paplašinot objekta kā ilgtspējīga resursa inovatīvu izmantošanu cilvēka dzīves kvalitātes uzlabošanā.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mērķa grupa ir iedzīvotāji, vietējie un starptautiskie tūristi, kultūras infrastruktūras objektu apmeklētāji un saistīto pakalpojumu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iznākuma rādītājs: noslēgto līgumu īpatsvars par ieguldījumiem kultūras un tūrisma objektos – 10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apmeklētāji – 63 000.</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attiecināmais finansējums ir 17 400 000</w:t>
      </w:r>
      <w:r w:rsidR="00000000" w:rsidRPr="00000000" w:rsidDel="00000000">
        <w:rPr>
          <w:i w:val="1"/>
          <w:rtl w:val="0"/>
        </w:rPr>
        <w:t xml:space="preserve"> euro</w:t>
      </w:r>
      <w:r w:rsidR="00000000" w:rsidRPr="00000000" w:rsidDel="00000000">
        <w:rPr>
          <w:rtl w:val="0"/>
        </w:rPr>
        <w:t xml:space="preserve"> (tai skaitā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(tai skaitā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un pašvaldības līdzfinansējums) – ne mazāk kā 2 610 000 </w:t>
      </w:r>
      <w:r w:rsidR="00000000" w:rsidRPr="00000000" w:rsidDel="00000000">
        <w:rPr>
          <w:i w:val="1"/>
          <w:rtl w:val="0"/>
        </w:rPr>
        <w:t xml:space="preserve">euro</w:t>
      </w:r>
      <w:r w:rsidR="00000000" w:rsidRPr="00000000" w:rsidDel="00000000">
        <w:rPr>
          <w:rtl w:val="0"/>
        </w:rPr>
        <w:t xml:space="preserve"> (tai skaitā elastības finansējuma apjoms – 411 663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iesniegumos pasākuma īstenošanai kopējo pasākuma pieejamo finansējumu plāno ne vairāk kā 14 655 580</w:t>
      </w:r>
      <w:r w:rsidR="00000000" w:rsidRPr="00000000" w:rsidDel="00000000">
        <w:rPr>
          <w:i w:val="1"/>
          <w:rtl w:val="0"/>
        </w:rPr>
        <w:t xml:space="preserve"> euro</w:t>
      </w:r>
      <w:r w:rsidR="00000000" w:rsidRPr="00000000" w:rsidDel="00000000">
        <w:rPr>
          <w:rtl w:val="0"/>
        </w:rPr>
        <w:t xml:space="preserve"> apmērā, tai skaitā Eiropas Reģionālās attīstības fonda finansējumu – 12 457 243 </w:t>
      </w:r>
      <w:r w:rsidR="00000000" w:rsidRPr="00000000" w:rsidDel="00000000">
        <w:rPr>
          <w:i w:val="1"/>
          <w:rtl w:val="0"/>
        </w:rPr>
        <w:t xml:space="preserve">euro</w:t>
      </w:r>
      <w:r w:rsidR="00000000" w:rsidRPr="00000000" w:rsidDel="00000000">
        <w:rPr>
          <w:rtl w:val="0"/>
        </w:rPr>
        <w:t xml:space="preserve"> apmērā un nacionālo finansējumu – 2 198 337</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atbalsta sniegšana specifiskā atbalsta ietvaros tam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valsts atbalsts komercdarbībai,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33., 35. un 36. punktā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un sadarbības partneris var saņemt ieguldījumu atbalstu no publiskā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sabiedrībai "Valsts nekustamie īpašumi", pašvaldībai, pašvaldības iestādei vai pašvaldības kapitālsabiedrībai, ja projektam atbalsta sniegšana specifiskā atbalsta ietvaros nav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sabiedrībai "Valsts nekustamie īpašumi", pašvaldībai, pašvaldības iestādei vai pašvaldības kapitālsabiedrībai, ja projektam atbalsta sniegšana specifiskā atbalsta ietvaros kvalificējama kā valsts atbalsts komercdarbībai, publiskais finansējums nepārsniedz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atbalsta sniegšana specifiskā atbalsta ietvaros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2021.-2027.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sniegšana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kultūras infrastruktūras objektu, kas nodrošina profesionālās mākslas darbību vai atmiņas institūcijas funkciju, attīstībai pieejams šāds Eiropas Reģionālās attīstības fonda finansējums: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Nacionālā arhīva Vidzemes reģiona centram – ne vairāk kā 8 207 243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drāmas teātrim – ne vairāk kā 4 250 000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Eiropas Reģionālās attīstības fonda finansējuma un nacionālā līdzfinansējuma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pasākuma ietvaros ir Cēsu novada pašvaldība un valsts akciju sabiedrība "Valsts nekustamie īpašumi", kuras īpašumā, turējumā, ilgtermiņa nomā vai nodibinātas apbūves tiesības, bezatlīdzības lietošanā vai valdījumā atrodas kultūras infrastruktūra,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pasākuma ietvaros projekta īstenošanai var piesaistīt sadarbības partneri – pašvaldību, pašvaldības iestādu, pašvaldības kapitālsabiedrību vai valsts kapitālsabiedrību, kuras īpašumā, turējumā, ilgtermiņa nomā vai nodibinātas apbūves tiesības, bezatlīdzības lietošanā vai valdījumā atrodas kultūras infrastruktūras objekts vai publiskā ārtelpa,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Īpašuma vai turējuma tiesības attiecībā uz atbalstītajiem objektiem nemaina un ieguldījums paliek Latvijas Republikas teritorijā vismaz piecus gadus pēc projekta noslēguma maksājuma veikšanas finansējuma saņēmējam. Īpašuma vai turējuma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un sadarbības partneris nevar pretendēt uz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statusam saskaņā ar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dome ir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 ir iecēlis pašvaldības finanšu stabilizācijas procesa uzraugu attiecīgajā pašvaldībā (attiecināms uz pašvaldību).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iesnieguma iesniegšanas dienā ir apstiprināta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objektu darbības stratēģija, kas pamato nacionālas vai reģionālas nozīmes kultūras infrastruktūras, kas nodrošina profesionālās mākslas darbību vai atmiņas institūcijas funkciju, attīstības nepieciešamību nacionāli nozīmīgu pakalpojumu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darbības stratēģija pamato objekta attīstības sociālekonomiskos ieguvumus, tai skaitā paredzot darbavietu nodrošināšanu reģionā, un paredz objekta uzturēšanu ilgtermiņā;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darbības stratēģija pamato, kā tiks veicināta vietējo iedzīvotāju sociālā iekļaušana, izpildot vismaz vienu no šādiem nosacījumiem: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tiks pilnveidoti esošie pakalpojumi vai izveidoti jauni, integrējot projektos inovatīvus risinājumus, kas ļauj attīstīt kultūras satura digitālo piedāvājumu;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tiks iesaistītas vietējās iedzīvotāju kopienas, radot jaunu sociālo dinamiku;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tiks sekmēta vienlīdzīga pieeja kultūras objektiem un publiskai ārtelpai, veicinot līdztiesīgumu kultūras norišu pieejamībā neatkarīgi no dzīvesvietas, īpašām vajadzībām un sociālā atstumtības riska.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Pasākums tiek īstenots, ievērojot Jaunā Eiropas B</w:t>
      </w:r>
      <w:r w:rsidR="00000000" w:rsidRPr="00000000" w:rsidDel="00000000">
        <w:rPr>
          <w:i w:val="1"/>
          <w:rtl w:val="0"/>
        </w:rPr>
        <w:t xml:space="preserve">auhaus</w:t>
      </w:r>
      <w:r w:rsidR="00000000" w:rsidRPr="00000000" w:rsidDel="00000000">
        <w:rPr>
          <w:rtl w:val="0"/>
        </w:rPr>
        <w:t xml:space="preserve"> principus: estētika, ilgtspēja, iekļautība, tai skaitā, nodrošinot publiskās ārtelpas attīstības risinājumu iekļaušanos apkārtējā ainavā, dabā balstīto risinājumu, universālā dizaina principu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pasākuma ietvaros plānotais atbalsts nepārklājas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rezultātu ilgtspēju vismaz piecus gadus pēc tam, kad sadarbības iestāde ir veikusi noslēguma maksājumu;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 -2027. gada plānošanas periodā, kā arī Eiropas Savienības fondu 2021. -2027.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minēto iznākuma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minēto rezultāta rādītāju;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rādītājiem (ja attiecināms) un ievēro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"Vienlīdzība, iekļaušana, nediskriminācija un pamattiesību ievērošana" rādītāju – objektu skaits, kuros Eiropas Reģionālās attīstības fonda ieguldījumu rezultātā ir nodrošināta vides un informācijas pieejamība;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ietvaros nodrošina vides prasību integrāciju preču un pakalpojumu iepirkumos – zaļais publiskais iepirkums.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nacionālas vai reģionālas kultūras infrastruktūras, kas nodrošina profesionālās mākslas darbību vai atmiņas institūcijas funkciju, attīstīšana;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kultūras infrastruktūru saistītās teritorijas labiekārtošana;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pakalpojumu izveide vai esošā pilnveide, paplašinot kultūras infrastruktūras saturisko piedāvājumu;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Izdevumi ir attiecināmi no 2022. gada 2. novembra.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minētajām izmaksām, ko aprēķina: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 kuras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68.a panta 1. punktu projekta iesniegumā plāno kā vienu izmaksu pozīciju, piemērojot izmaksu vienoto likmi piecu procentu apmērā no projekta tiešajām attiecināmajām izmaksām, bet neieskaitot tiešās personāla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ekspertīzes, izpētes izmaksas, ja to veikšana ir priekšnosacījums šo noteikumu </w:t>
      </w:r>
      <w:r w:rsidR="00000000" w:rsidRPr="00000000" w:rsidDel="00000000">
        <w:rPr>
          <w:rtl w:val="0"/>
        </w:rPr>
        <w:t xml:space="preserve">33.2.1. </w:t>
      </w:r>
      <w:r w:rsidR="00000000" w:rsidRPr="00000000" w:rsidDel="00000000">
        <w:rPr>
          <w:rtl w:val="0"/>
        </w:rPr>
        <w:t xml:space="preserve">apakšpunktā</w:t>
      </w:r>
      <w:r w:rsidR="00000000" w:rsidRPr="00000000" w:rsidDel="00000000">
        <w:rPr>
          <w:rtl w:val="0"/>
        </w:rPr>
        <w:t xml:space="preserve"> noteiktās dokumentācijas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kultūras infrastruktūras saistītās ekspozīcijas (tai skaitā iekštelpu un ārtelpu ekspozīcijas) un tās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ekspertu izmaksas, kas tieši saistītas ar investīcijām infrastruktūrā, būvuzraudzības, autoruzraudzības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būvju un ar to saistītās infrastruktūras būvniecība, pārbūve, konservācija, atjaunošana vai restaurācija;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uzbūvēto, atjaunoto, konservēto, pārbūvēto, restaurēto vai uzbūvēto būvju funkcionalitātes nodrošināšanai nepieciešamo inženiertīklu (tai skaitā ūdensvada, sadzīves kanalizācijas, lietusūdens kanalizācijas, elektrības, elektronisko sakaru, siltumapgādes, ventilācijas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ielu, satiksmes pārvadu, stāvlaukumu un ar to saistītās infrastruktūras izbūve vai pārbūve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 nepārsniedzot 25 procentus no projekta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esošas būves sasniedzamību un pieejamību nodrošinošās infrastruktūras (satiksmes pārvadi, ielas un ar tām saistītā infrastruktūra, gājēju ceļi, gājēju tilti, labiekārtoti laukumi ar segumu, kāpnes, apgaismojums), izbūve, pārbūve atjaunošana, konservācija, pārbūve vai restaurācija un ar to saistītās publiskās ārtelpas attīstība;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kas nepieciešama teritorijas un objektu funkcionalitātes nodrošināšanai, nepārsniedzot 10 procentus no projekta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izveidotās infrastruktūras darbībai nepieciešamo iekārtu un stacionārā aprīkojuma iegāde un uzstādīšana, nepārsniedzot 10 procentus no projekta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ekspertu izmaksas, kas tieši saistītas ar investīcijām infrastruktūrā, tai skaitā autoruzraudzības un būvuzraudzības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kultūras infrastruktūru saistītās iekštelpu un ārtelpu ekspozīcijas izmaksas un kultūras pakalpojuma izveides izmaksas, aprīkojuma iegādes un uzstādīšanas izmaksas;</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fondu ieviešanā 2021.-2027. gada plānošanas periodā nodrošināma komunikācijas un vizuālās identitātes prasību ievērošana. Ja projekta iesniegumam sniegtais atbalsts ir uzskatāms par valsts atbalstu komercdarbībai, publicitātes izmaksas nav attiecināmas.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33.2.2.</w:t>
      </w:r>
      <w:r w:rsidR="00000000" w:rsidRPr="00000000" w:rsidDel="00000000">
        <w:rPr>
          <w:rtl w:val="0"/>
        </w:rPr>
        <w:t xml:space="preserve"> un  </w:t>
      </w:r>
      <w:r w:rsidR="00000000" w:rsidRPr="00000000" w:rsidDel="00000000">
        <w:rPr>
          <w:rtl w:val="0"/>
        </w:rPr>
        <w:t xml:space="preserve">33.6. </w:t>
      </w:r>
      <w:r w:rsidR="00000000" w:rsidRPr="00000000" w:rsidDel="00000000">
        <w:rPr>
          <w:rtl w:val="0"/>
        </w:rPr>
        <w:t xml:space="preserve">apakšpunktā</w:t>
      </w:r>
      <w:r w:rsidR="00000000" w:rsidRPr="00000000" w:rsidDel="00000000">
        <w:rPr>
          <w:rtl w:val="0"/>
        </w:rPr>
        <w:t xml:space="preserve">  noteiktās izmaksas, kas kopā nepārsniedz 10 procentus no kopējām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būvuzraudzības, autoruzraudzības un būvprojekta izstrādes izmaksas, nepārsniedzot 10 procentus no būvdarbu līguma 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2021/1060 64.panta 1. punkta "c" apakšpunkta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w:t>
      </w:r>
      <w:r w:rsidR="00000000" w:rsidRPr="00000000" w:rsidDel="00000000">
        <w:rPr>
          <w:rtl w:val="0"/>
        </w:rPr>
        <w:t xml:space="preserve">33.10.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valsts atbalstu komercdarbībai.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atbalsta sniegšana tam specifiskā atbalsta ietvaros ir kvalificējama kā valsts atbalsts komercdarbībai, projekta iesniedzējs un sadarbības partneris privāto finansējumu nodrošina no tādiem pašu līdzekļiem, par kuriem nav saņemts nekāds publisks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Valsts atbalsta komercdarbībai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atbalstu komercdarbībai šo noteikumu ietvaros sniedz saskaņā ar Regulas Nr. 651/2014 53.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valsts atbalstu komercdarbībai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jo projektam nav ietekmes uz konkurenci un tirdzniecību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atbalstu komercdarbībai projekta iesniedzējam piešķir saskaņā ar Regulu Nr. 651/2014, ja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valsts atbalstu komercdarbībai, kurš tiek sniegts saskaņā ar Regulas Nr. 651/2014 53. pantu vienam vai vairākiem 53. panta 2. punkta "a", "b", "c", "d" un "e" apakšpunktā minētajiem mērķiem vai darbībām, papildus ir ievēroti visi šajā apakšpunktā minētie nosacījumi: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Regulas Nr. 651/2014 53. panta 10. punktā minētajām nozarēm;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ievērots nosacījums, ka vismaz 80 procentu no infrastruktūras, gada jaudas laika vai platības izteiksmē izmanto kultūras mērķim;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41.2.2. </w:t>
      </w:r>
      <w:r w:rsidR="00000000" w:rsidRPr="00000000" w:rsidDel="00000000">
        <w:rPr>
          <w:rtl w:val="0"/>
        </w:rPr>
        <w:t xml:space="preserve">apakšpunkta</w:t>
      </w:r>
      <w:r w:rsidR="00000000" w:rsidRPr="00000000" w:rsidDel="00000000">
        <w:rPr>
          <w:rtl w:val="0"/>
        </w:rPr>
        <w:t xml:space="preserve"> nosacījums neattiecas uz kultūras mantojuma izmaksām, kas noteiktas Regulas Nr. 651/2014 53. panta 4. punkta "c" apakšpunktā.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atbalsts komercdarbībai netiek sniegts projekta iesniedzējam, uz kuru attiecas līdzekļu atgūšanas rīkojums saskaņā ar iepriekšēju Eiropas Komisijas lēmumu, ar ko atbalsts tiek atzīts par nelikumīgu un nesaderīgu ar kopējo tirgu, atbilstoši Regulas Nr. 651/2014 1.panta 4.punkta "a" apakšpunkta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projektam nav saimniecisks raksturs vai ir saimniecisks raksturs un projektam nav ietekmes uz konkurenci un tirdzniecību Eiropas Savienības iekšējā tirgū, projekta iesniedzējam izmaksu un ieguvumu analīze nav jāveic.</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projekta iesniedzējs pretendē uz komercdarbības atbalstu saskaņā ar Regulas Nr. 651/2014 53. pantu, 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 gadījumā ir pieļaujams veikt papildpakalpojumus,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atbalstu komercdarbībai šo noteikumu ietvaros drīkst apvienot ar citu valsts atbalstu komercdarbībai, tai skaitā ar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nepārsniedzot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uzraudzību visā projekta pārskata periodā (projekta dzīves cikla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ar valsts atbalstu komercdarbībai saistīta projekta dokumentāciju glabā visu projekta pārskata periodu (projekta dzīves ciklu), sākot no dienas, kad tam ir piešķirts individuālais valsts atbalsts komercdarbībai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valsts atbalstu komercdarbībai sniedz saskaņā ar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minētās izmaksu un ieguvumu analīzes pārrēķinu un sadarbības iestādei atmaksā starpību starp faktisko un plānoto peļņu no pamatdarbības. Šo noteikumu ietvaros pamatdarbības peļņas definīcija atbilst Regulas Nr. 651/2014 2.panta 39.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projekts tā ieviešanas gaitā vai projekta pārskata periodā (projekta dzīves cikla laikā) kļūst par projektu, kura ietvaros tiek sniegts valsts atbalsts komercdarbībai,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sadarbības iestāde atbalstītajā objektā konstatē valsts atbalstu komercdarbībai,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(projekta dzīves cikla laikā) neatbilst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23-TA-1258</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23-TA-1258</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noteikumu_projekts_23-TA-1258.docx</dc:title>
</cp:coreProperties>
</file>

<file path=docProps/custom.xml><?xml version="1.0" encoding="utf-8"?>
<Properties xmlns="http://schemas.openxmlformats.org/officeDocument/2006/custom-properties" xmlns:vt="http://schemas.openxmlformats.org/officeDocument/2006/docPropsVTypes"/>
</file>