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[22-TA-1809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[22-TA-1809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20.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859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Darbības programmas "Izaugsme un nodarbinātība" 5.4.2. specifiskā atbalsta mērķa "Nodrošināt vides monitoringa un kontroles sistēmas attīstību un savlaicīgu vides risku novēršanu, kā arī sabiedrības līdzdalību vides pārvaldībā" 5.4.2.2. pasākuma "Vides monitoringa un kontroles sistēmas attīstība un sabiedrības līdzdalības vides pārvaldībā veicināšana" projektu iesniegumu saraksts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568"/>
        <w:gridCol w:w="2431"/>
        <w:gridCol w:w="1281"/>
        <w:gridCol w:w="3580"/>
        <w:gridCol w:w="3580"/>
        <w:tblGridChange w:id="0">
          <w:tblGrid>
            <w:gridCol w:w="514"/>
            <w:gridCol w:w="1568"/>
            <w:gridCol w:w="2431"/>
            <w:gridCol w:w="1281"/>
            <w:gridCol w:w="3580"/>
            <w:gridCol w:w="358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Atbalstāmā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Eiropas Savienības Kohēzijas fonda finansējums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Sasniedzamie uzraudzības rādītāji</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Projektu īstenošanai līdz 2018. gada 31. decembrim pieejamais finansējums</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Pasākumi vides kontroles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Pasākumi ūdeņu, zemes un bioloģiskās daudzveidības monitoringa programmās noteikto uzdevumu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Nacionālas nozīmes vides informācijas un izglītības centru infrastruktūras pilnveidošana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7 407 821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6</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kuras īstenotas atbilstoši normatīvajiem aktiem, kas attiecas uz vides monitoringu, – 3</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izveidota un attīstīta sabiedrības vides apziņas veicināšanas infrastruktūra 3 nacionālas nozīmes vides izglītības un informācijas centros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gaisa un klimata pārmaiņu, ūdeņu monitoringa programmās noteikto uzdevumu īstenošanai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5 911 990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106</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2</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valsts vides monitoringa un citu vides datu apstrādei un uzglabāšanas infrastruktūras pilnveidošanai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2 847 500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3</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Trešā projektu iesniegumu atlases 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pasākumi ūdeņu monitoringa programmā noteikto uzdevumu īstenošanai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1 333 895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Specifiskais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vietu skaits projektā, kurās tiek veikts vides monitorings atbilstoši normatīvajiem aktiem, kas attiecas uz vides monitoringu, – vismaz 77</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Projekta iznākuma rādītājs: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monitoringa programmu skaits, kurās veikti uzlabojumi un nodrošināta atbilstība normatīvajiem aktiem, kas attiecas uz vides monitoringu, – 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22-TA-1809</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22-TA-1809</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noteikumu_(grozījumu)_projekts_p_22-TA-1809.docx</dc:title>
</cp:coreProperties>
</file>

<file path=docProps/custom.xml><?xml version="1.0" encoding="utf-8"?>
<Properties xmlns="http://schemas.openxmlformats.org/officeDocument/2006/custom-properties" xmlns:vt="http://schemas.openxmlformats.org/officeDocument/2006/docPropsVTypes"/>
</file>