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26.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36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80"/>
        <w:gridCol w:w="5092"/>
        <w:gridCol w:w="5906"/>
        <w:tblGridChange w:id="0">
          <w:tblGrid>
            <w:gridCol w:w="2380"/>
            <w:gridCol w:w="5092"/>
            <w:gridCol w:w="5906"/>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 un koncertmeistars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50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4"/>
        <w:gridCol w:w="7111"/>
        <w:gridCol w:w="6214"/>
        <w:tblGridChange w:id="0">
          <w:tblGrid>
            <w:gridCol w:w="1284"/>
            <w:gridCol w:w="7111"/>
            <w:gridCol w:w="6214"/>
          </w:tblGrid>
        </w:tblGridChange>
      </w:tblGrid>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un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Interešu izglītības iestādēs izglītojamo skaitam piemēro koeficientu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Vispārējās izglītības iestādēs kopējā izglītojamo skaitā iekļauj piecgadīgos un sešgadīgos izglītojamos, bet speciālajās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To izglītības iestāžu vadītāju amata algu, kuras īsteno vispārējās un profesionālās izglītības programmas ieslodzījuma vietās, nosaka par vienu pakāpi augstāku.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noteikumu_(grozījumu)_projekts_p1_23-TA-1059.docx</dc:title>
</cp:coreProperties>
</file>

<file path=docProps/custom.xml><?xml version="1.0" encoding="utf-8"?>
<Properties xmlns="http://schemas.openxmlformats.org/officeDocument/2006/custom-properties" xmlns:vt="http://schemas.openxmlformats.org/officeDocument/2006/docPropsVTypes"/>
</file>