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martā (prot. Nr. 12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22. jūnija noteikumos Nr. 414 "Braukšanas maksas atvieglojumu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Sabiedriskā transporta pakalpojumu likuma</w:t>
      </w:r>
      <w:r>
        <w:br/>
      </w:r>
      <w:r w:rsidR="00000000" w:rsidRPr="00000000" w:rsidDel="00000000">
        <w:rPr>
          <w:rStyle w:val="paragraph"/>
          <w:i w:val="1"/>
          <w:rtl w:val="0"/>
        </w:rPr>
        <w:t xml:space="preserve">14.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22. jūnija noteikumos Nr. 414 "Braukšanas maksas atvieglojumu noteikumi" (Latvijas Vēstnesis, 2021, 122. nr.; 2023, 107. nr.; 2024, 22.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Bērniem bāreņiem un bez vecāku gādības palikušiem bērniem, kuri atrodas audžuģimenēs, aizbildnībā, bērnu aprūpes institūcijās vai mācās vispārējās vai profesionālās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24-TA-289</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24-TA-289</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noteikumu_(grozījumu)_projekts_24-TA-289.docx</dc:title>
</cp:coreProperties>
</file>

<file path=docProps/custom.xml><?xml version="1.0" encoding="utf-8"?>
<Properties xmlns="http://schemas.openxmlformats.org/officeDocument/2006/custom-properties" xmlns:vt="http://schemas.openxmlformats.org/officeDocument/2006/docPropsVTypes"/>
</file>