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Gaisa kuģu pasažieru datu apstrādes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Izdarīt Gaisa kuģu pasažieru datu apstrādes likumā (Latvijas Vēstnesis, 2017, 29. nr.; 2018, 101. nr.; 2019, 225. nr.; 2022, 24.B nr.) šādus grozījumus: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izplatības mazināšanai, par kuru veicama epidemioloģiskā izmeklēšana".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 pants. Pasažieru datu glabāšana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Pasažieru datus reģistrā glabā no to iekļaušanas dienas: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piecus gadus – par Eiropas Savienības iekšējiem un ārējiem gaisa pārvadājumiem, lai novērstu valsts drošības apdraudējumu;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sešus mēnešus – par Eiropas Savienības ārējiem gaisa pārvadājumiem, lai novērstu un atklātu terorismu un citus smagus noziegumus;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sešus mēnešus – par Eiropas Savienības iekšējiem gaisa pārvadājumiem, lai novērstu un atklātu terorismu un citus smagus noziegumus, un ja atbilstoši kompetento iestāžu sniegtajam riska novērtējumam gaisa pārvadājums ir veikts no paaugstinātas noziedzības zonas.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2. un 3. punktā minēto pasažieru datu glabāšanu reģistrā par gaisa pārvadājumiem vai atsevišķiem pasažieriem, iestājoties šo datu glabāšanas termiņam, pārskata un pagarina uz sešiem mēnešiem, ja atbilstoši Pasažieru informācijas nodaļas veiktam riska novērtējumam pastāv pamats uzskatīt, ka tie ir saistīti ar terorismu vai citu smagu noziegumu. Kopējais pieļaujamais attiecīgo pasažieru datu glabāšanas termiņš reģistrā ir pieci gadi no to iekļaušanas dienas.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iestājas pasažieru datu glabāšanas termiņš vai zūd datu apstrādes nolūks, attiecīgie pasažieru dati tiek automatizēti un neatgriezeniski dzēsti."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10.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9. punktā vārdus "Valsts ieņēmumu dienesta nodokļu un muitas policijai, Iekšējās drošības pārvaldei" ar vārdiem "Nodokļu un muitas policijai";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8. panta pirmajā daļā minētie pasažieru dati ir pieejami: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drošības iestādēm – šā likuma 8. panta pirmās daļas 1. punktā minētie dati;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kompetentajām iestādēm, kas novērš un atklāj terorismu un citus smagus noziegumus, – šā likuma 8. panta pirmās daļas 2. un 3. punktā minētie dati.";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Izteikt 15. pantu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 pants. Pasažieru datu izsniegšanas pamats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Pasažieru informācijas nodaļa var izsniegt dalībvalsts Pasažieru informācijas nodaļai, trešai valstij, starptautiskajai organizācijai vai tās aģentūrai pasažieru datus no reģistra, ja ir pamats uzskatīt, ka tie pieprasījuma iesniedzējam var palīdzēt novērst vai atklāt noziegumu, kas saistīts ar terorismu, smagu noziegumu vai novērst valsts drošības apdraudējumu. Pasažieru datus no reģistra pēc ārvalsts kompetentās iestādes vai starptautiskās organizācijas vai tās aģentūras pieprasījuma var izsniegt ar tiesneša piekrišanu, izņemot šā likuma 14. panta pirmajā daļā un 14.</w:t>
      </w:r>
      <w:r w:rsidR="00000000" w:rsidRPr="00000000" w:rsidDel="00000000">
        <w:rPr>
          <w:vertAlign w:val="superscript"/>
          <w:rtl w:val="0"/>
        </w:rPr>
        <w:t xml:space="preserve">1</w:t>
      </w:r>
      <w:r w:rsidR="00000000" w:rsidRPr="00000000" w:rsidDel="00000000">
        <w:rPr>
          <w:rtl w:val="0"/>
        </w:rPr>
        <w:t xml:space="preserve"> panta pirmajā daļā minēto gadījumu."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Aizstāt 19. panta trešajā daļā skaitli un vārdu "4. pantā" ar skaitļiem un vārdiem "4. vai 8. pantā".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Papildināt pārejas noteikumus ar 4., 5. un 6.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Grozījums par šā likuma 8. panta izteikšanu jaunā redakcijā un 10. panta otrā daļa stājas spēkā 2027. gada 1. janvārī.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Pasažieru dati, kas reģistrā iekļauti līdz 2026. gada 31. decembrim un glabāti reģistrā ilgāk par sešiem mēnešiem un kuru turpmākas glabāšanas nepieciešamību nepamato šā likuma 8. panta pirmās daļas 3. punktā minētais kompetento iestāžu veikts riska novērtējums par Eiropas Savienības iekšējo gaisa pārvadājumu no paaugstinātas noziedzības zonas vai šā likuma 8. panta otrajā daļā minētais Pasažieru informācijas nodaļas veikts riska novērtējums par konkrētu gaisa pārvadājumu vai atsevišķu pasažieru iespējamo saistību ar terorismu vai citu smagu noziegumu, tiek nekavējoties automatizēti un neatgriezeniski dzēsti.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Grozījumi šā likuma 10. panta 9. punktā attiecībā uz kompetentās iestādes nosaukuma maiņu stājas spēkā 2026. gada 1. janvārī. Līdz tam ar terminu "Valsts ieņēmumu dienesta nodokļu un muitas policija, Iekšējās drošības pārvalde" saprot terminu "Valsts ieņēmumu dienesta Nodokļu un muitas policijas pārvalde"."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23-TA-3198</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23-TA-3198</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likumprojekts_23-TA-3198.docx</dc:title>
</cp:coreProperties>
</file>

<file path=docProps/custom.xml><?xml version="1.0" encoding="utf-8"?>
<Properties xmlns="http://schemas.openxmlformats.org/officeDocument/2006/custom-properties" xmlns:vt="http://schemas.openxmlformats.org/officeDocument/2006/docPropsVTypes"/>
</file>