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01.01.2021. ar MK 16.06.2020. noteikumiem Nr. 393;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24-TA-2181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